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02554">
      <w:pPr>
        <w:autoSpaceDE w:val="0"/>
        <w:autoSpaceDN w:val="0"/>
        <w:adjustRightInd w:val="0"/>
        <w:spacing w:line="360" w:lineRule="auto"/>
        <w:ind w:right="-85"/>
        <w:rPr>
          <w:rFonts w:hint="eastAsia" w:ascii="宋体" w:hAnsi="宋体" w:cs="宋体"/>
          <w:b/>
          <w:color w:val="auto"/>
          <w:sz w:val="48"/>
          <w:szCs w:val="48"/>
          <w:highlight w:val="none"/>
        </w:rPr>
      </w:pPr>
      <w:bookmarkStart w:id="10" w:name="_GoBack"/>
      <w:r>
        <w:rPr>
          <w:rFonts w:hint="eastAsia" w:ascii="宋体" w:hAnsi="宋体" w:cs="宋体"/>
          <w:b/>
          <w:bCs/>
          <w:color w:val="auto"/>
          <w:sz w:val="48"/>
          <w:szCs w:val="48"/>
          <w:highlight w:val="none"/>
        </w:rPr>
        <w:t xml:space="preserve">               </w:t>
      </w:r>
    </w:p>
    <w:p w14:paraId="4884BFB6">
      <w:pPr>
        <w:autoSpaceDE w:val="0"/>
        <w:autoSpaceDN w:val="0"/>
        <w:adjustRightInd w:val="0"/>
        <w:spacing w:line="360" w:lineRule="auto"/>
        <w:ind w:right="-85"/>
        <w:jc w:val="center"/>
        <w:rPr>
          <w:rFonts w:hint="eastAsia" w:ascii="宋体" w:hAnsi="宋体" w:cs="宋体"/>
          <w:color w:val="auto"/>
          <w:kern w:val="0"/>
          <w:sz w:val="48"/>
          <w:szCs w:val="48"/>
          <w:highlight w:val="none"/>
        </w:rPr>
      </w:pPr>
      <w:r>
        <w:rPr>
          <w:rFonts w:hint="eastAsia" w:ascii="宋体" w:hAnsi="宋体" w:cs="宋体"/>
          <w:b/>
          <w:bCs/>
          <w:color w:val="auto"/>
          <w:sz w:val="48"/>
          <w:szCs w:val="48"/>
          <w:highlight w:val="none"/>
        </w:rPr>
        <w:t>荔湾区山村城中村改造(一期)项目临时管线迁改勘察设计施工总承包合同</w:t>
      </w:r>
    </w:p>
    <w:p w14:paraId="27BB8BCD">
      <w:pPr>
        <w:autoSpaceDE w:val="0"/>
        <w:autoSpaceDN w:val="0"/>
        <w:adjustRightInd w:val="0"/>
        <w:spacing w:before="4" w:line="360" w:lineRule="auto"/>
        <w:jc w:val="left"/>
        <w:rPr>
          <w:rFonts w:hint="eastAsia" w:ascii="宋体" w:hAnsi="宋体" w:cs="宋体"/>
          <w:color w:val="auto"/>
          <w:kern w:val="0"/>
          <w:sz w:val="28"/>
          <w:szCs w:val="28"/>
          <w:highlight w:val="none"/>
        </w:rPr>
      </w:pPr>
    </w:p>
    <w:p w14:paraId="72596E0A">
      <w:pPr>
        <w:pStyle w:val="2"/>
        <w:rPr>
          <w:rFonts w:hint="eastAsia"/>
          <w:color w:val="auto"/>
          <w:highlight w:val="none"/>
        </w:rPr>
      </w:pPr>
    </w:p>
    <w:p w14:paraId="74EC792E">
      <w:pPr>
        <w:rPr>
          <w:rFonts w:hint="eastAsia"/>
          <w:color w:val="auto"/>
          <w:highlight w:val="none"/>
        </w:rPr>
      </w:pPr>
    </w:p>
    <w:p w14:paraId="60EEF36A">
      <w:pPr>
        <w:autoSpaceDE w:val="0"/>
        <w:autoSpaceDN w:val="0"/>
        <w:adjustRightInd w:val="0"/>
        <w:spacing w:line="360" w:lineRule="auto"/>
        <w:jc w:val="left"/>
        <w:rPr>
          <w:rFonts w:hint="eastAsia" w:ascii="宋体" w:hAnsi="宋体" w:cs="宋体"/>
          <w:color w:val="auto"/>
          <w:kern w:val="0"/>
          <w:sz w:val="28"/>
          <w:szCs w:val="28"/>
          <w:highlight w:val="none"/>
        </w:rPr>
      </w:pPr>
    </w:p>
    <w:p w14:paraId="49FD0F56">
      <w:pPr>
        <w:autoSpaceDE w:val="0"/>
        <w:autoSpaceDN w:val="0"/>
        <w:adjustRightInd w:val="0"/>
        <w:spacing w:line="360" w:lineRule="auto"/>
        <w:jc w:val="left"/>
        <w:rPr>
          <w:rFonts w:hint="eastAsia" w:ascii="宋体" w:hAnsi="宋体" w:cs="宋体"/>
          <w:color w:val="auto"/>
          <w:kern w:val="0"/>
          <w:sz w:val="28"/>
          <w:szCs w:val="28"/>
          <w:highlight w:val="none"/>
        </w:rPr>
      </w:pPr>
    </w:p>
    <w:p w14:paraId="615E1142">
      <w:pPr>
        <w:spacing w:line="360" w:lineRule="auto"/>
        <w:rPr>
          <w:rFonts w:hint="eastAsia" w:ascii="宋体" w:hAnsi="宋体" w:cs="宋体"/>
          <w:bCs/>
          <w:color w:val="auto"/>
          <w:sz w:val="32"/>
          <w:szCs w:val="32"/>
          <w:highlight w:val="none"/>
        </w:rPr>
      </w:pPr>
      <w:r>
        <w:rPr>
          <w:rFonts w:hint="eastAsia" w:ascii="宋体" w:hAnsi="宋体" w:cs="宋体"/>
          <w:bCs/>
          <w:color w:val="auto"/>
          <w:sz w:val="28"/>
          <w:szCs w:val="28"/>
          <w:highlight w:val="none"/>
        </w:rPr>
        <w:t>项目名称</w:t>
      </w:r>
      <w:r>
        <w:rPr>
          <w:rFonts w:hint="eastAsia" w:ascii="宋体" w:hAnsi="宋体" w:cs="宋体"/>
          <w:color w:val="auto"/>
          <w:sz w:val="28"/>
          <w:szCs w:val="28"/>
          <w:highlight w:val="none"/>
        </w:rPr>
        <w:t>：</w:t>
      </w:r>
      <w:r>
        <w:rPr>
          <w:rFonts w:hint="eastAsia" w:ascii="宋体" w:hAnsi="宋体" w:cs="宋体"/>
          <w:bCs/>
          <w:color w:val="auto"/>
          <w:sz w:val="28"/>
          <w:szCs w:val="28"/>
          <w:highlight w:val="none"/>
          <w:u w:val="single"/>
        </w:rPr>
        <w:t>荔湾区山村城中村改造(一期)项目临时管线迁改勘察设计施工总承包项目</w:t>
      </w:r>
    </w:p>
    <w:p w14:paraId="70C8F4C7">
      <w:pPr>
        <w:autoSpaceDE w:val="0"/>
        <w:autoSpaceDN w:val="0"/>
        <w:adjustRightInd w:val="0"/>
        <w:spacing w:line="360" w:lineRule="auto"/>
        <w:rPr>
          <w:rFonts w:hint="eastAsia" w:ascii="宋体" w:hAnsi="宋体" w:cs="宋体"/>
          <w:color w:val="auto"/>
          <w:highlight w:val="none"/>
        </w:rPr>
      </w:pPr>
      <w:r>
        <w:rPr>
          <w:rFonts w:hint="eastAsia" w:ascii="宋体" w:hAnsi="宋体" w:cs="宋体"/>
          <w:bCs/>
          <w:color w:val="auto"/>
          <w:sz w:val="28"/>
          <w:szCs w:val="28"/>
          <w:highlight w:val="none"/>
        </w:rPr>
        <w:t>项目地点：  广州市</w:t>
      </w:r>
    </w:p>
    <w:p w14:paraId="68637465">
      <w:pPr>
        <w:pStyle w:val="187"/>
        <w:spacing w:line="360" w:lineRule="auto"/>
        <w:rPr>
          <w:rFonts w:hint="eastAsia"/>
          <w:color w:val="auto"/>
          <w:sz w:val="28"/>
          <w:szCs w:val="28"/>
          <w:highlight w:val="none"/>
        </w:rPr>
      </w:pPr>
      <w:r>
        <w:rPr>
          <w:rFonts w:hint="eastAsia"/>
          <w:bCs/>
          <w:color w:val="auto"/>
          <w:sz w:val="28"/>
          <w:szCs w:val="28"/>
          <w:highlight w:val="none"/>
        </w:rPr>
        <w:t>甲方</w:t>
      </w:r>
      <w:r>
        <w:rPr>
          <w:rFonts w:hint="eastAsia"/>
          <w:color w:val="auto"/>
          <w:sz w:val="28"/>
          <w:szCs w:val="28"/>
          <w:highlight w:val="none"/>
        </w:rPr>
        <w:t>：</w:t>
      </w:r>
      <w:r>
        <w:rPr>
          <w:rFonts w:hint="eastAsia"/>
          <w:bCs/>
          <w:color w:val="auto"/>
          <w:sz w:val="28"/>
          <w:szCs w:val="28"/>
          <w:highlight w:val="none"/>
          <w:u w:val="single"/>
        </w:rPr>
        <w:t>广州市荔湾区人民政府石围塘街道办事处</w:t>
      </w:r>
      <w:r>
        <w:rPr>
          <w:rFonts w:hint="eastAsia"/>
          <w:color w:val="auto"/>
          <w:sz w:val="28"/>
          <w:szCs w:val="28"/>
          <w:highlight w:val="none"/>
        </w:rPr>
        <w:t xml:space="preserve">                      </w:t>
      </w:r>
    </w:p>
    <w:p w14:paraId="4A753B81">
      <w:pPr>
        <w:pStyle w:val="187"/>
        <w:spacing w:line="360" w:lineRule="auto"/>
        <w:rPr>
          <w:rFonts w:hint="eastAsia"/>
          <w:color w:val="auto"/>
          <w:sz w:val="28"/>
          <w:szCs w:val="28"/>
          <w:highlight w:val="none"/>
        </w:rPr>
      </w:pPr>
      <w:r>
        <w:rPr>
          <w:rFonts w:hint="eastAsia"/>
          <w:bCs/>
          <w:color w:val="auto"/>
          <w:sz w:val="28"/>
          <w:szCs w:val="28"/>
          <w:highlight w:val="none"/>
        </w:rPr>
        <w:t>甲方合同编号</w:t>
      </w:r>
      <w:r>
        <w:rPr>
          <w:rFonts w:hint="eastAsia"/>
          <w:color w:val="auto"/>
          <w:sz w:val="28"/>
          <w:szCs w:val="28"/>
          <w:highlight w:val="none"/>
        </w:rPr>
        <w:t>：</w:t>
      </w:r>
      <w:r>
        <w:rPr>
          <w:rFonts w:hint="eastAsia"/>
          <w:color w:val="auto"/>
          <w:sz w:val="28"/>
          <w:szCs w:val="28"/>
          <w:highlight w:val="none"/>
          <w:u w:val="single"/>
        </w:rPr>
        <w:t xml:space="preserve">                                                     </w:t>
      </w:r>
    </w:p>
    <w:p w14:paraId="0E78A486">
      <w:pPr>
        <w:pStyle w:val="187"/>
        <w:spacing w:line="360" w:lineRule="auto"/>
        <w:rPr>
          <w:rFonts w:hint="eastAsia"/>
          <w:color w:val="auto"/>
          <w:sz w:val="28"/>
          <w:szCs w:val="28"/>
          <w:highlight w:val="none"/>
          <w:u w:val="single"/>
        </w:rPr>
      </w:pPr>
      <w:r>
        <w:rPr>
          <w:rFonts w:hint="eastAsia"/>
          <w:bCs/>
          <w:color w:val="auto"/>
          <w:sz w:val="28"/>
          <w:szCs w:val="28"/>
          <w:highlight w:val="none"/>
        </w:rPr>
        <w:t>乙方（主）</w:t>
      </w:r>
      <w:r>
        <w:rPr>
          <w:rFonts w:hint="eastAsia"/>
          <w:color w:val="auto"/>
          <w:sz w:val="28"/>
          <w:szCs w:val="28"/>
          <w:highlight w:val="none"/>
        </w:rPr>
        <w:t>：</w:t>
      </w:r>
      <w:r>
        <w:rPr>
          <w:rFonts w:hint="eastAsia"/>
          <w:color w:val="auto"/>
          <w:sz w:val="28"/>
          <w:szCs w:val="28"/>
          <w:highlight w:val="none"/>
          <w:u w:val="single"/>
        </w:rPr>
        <w:t xml:space="preserve">                 </w:t>
      </w:r>
    </w:p>
    <w:p w14:paraId="454C684B">
      <w:pPr>
        <w:pStyle w:val="187"/>
        <w:spacing w:line="360" w:lineRule="auto"/>
        <w:rPr>
          <w:rFonts w:hint="eastAsia"/>
          <w:color w:val="auto"/>
          <w:sz w:val="28"/>
          <w:szCs w:val="28"/>
          <w:highlight w:val="none"/>
          <w:u w:val="single"/>
        </w:rPr>
      </w:pPr>
      <w:r>
        <w:rPr>
          <w:rFonts w:hint="eastAsia"/>
          <w:bCs/>
          <w:color w:val="auto"/>
          <w:sz w:val="28"/>
          <w:szCs w:val="28"/>
          <w:highlight w:val="none"/>
        </w:rPr>
        <w:t>乙方（成）</w:t>
      </w:r>
      <w:r>
        <w:rPr>
          <w:rFonts w:hint="eastAsia"/>
          <w:color w:val="auto"/>
          <w:sz w:val="28"/>
          <w:szCs w:val="28"/>
          <w:highlight w:val="none"/>
        </w:rPr>
        <w:t>：</w:t>
      </w:r>
      <w:r>
        <w:rPr>
          <w:rFonts w:hint="eastAsia"/>
          <w:color w:val="auto"/>
          <w:sz w:val="28"/>
          <w:szCs w:val="28"/>
          <w:highlight w:val="none"/>
          <w:u w:val="single"/>
        </w:rPr>
        <w:t xml:space="preserve">                 </w:t>
      </w:r>
    </w:p>
    <w:p w14:paraId="1F49E741">
      <w:pPr>
        <w:pStyle w:val="187"/>
        <w:spacing w:line="360" w:lineRule="auto"/>
        <w:rPr>
          <w:rFonts w:hint="eastAsia"/>
          <w:color w:val="auto"/>
          <w:sz w:val="28"/>
          <w:szCs w:val="28"/>
          <w:highlight w:val="none"/>
        </w:rPr>
      </w:pPr>
      <w:r>
        <w:rPr>
          <w:rFonts w:hint="eastAsia"/>
          <w:bCs/>
          <w:color w:val="auto"/>
          <w:sz w:val="28"/>
          <w:szCs w:val="28"/>
          <w:highlight w:val="none"/>
        </w:rPr>
        <w:t>乙方（主）合同编号</w:t>
      </w:r>
      <w:r>
        <w:rPr>
          <w:rFonts w:hint="eastAsia"/>
          <w:color w:val="auto"/>
          <w:sz w:val="28"/>
          <w:szCs w:val="28"/>
          <w:highlight w:val="none"/>
        </w:rPr>
        <w:t>：</w:t>
      </w:r>
      <w:r>
        <w:rPr>
          <w:rFonts w:hint="eastAsia"/>
          <w:color w:val="auto"/>
          <w:sz w:val="28"/>
          <w:szCs w:val="28"/>
          <w:highlight w:val="none"/>
          <w:u w:val="single"/>
        </w:rPr>
        <w:t xml:space="preserve">                       </w:t>
      </w:r>
    </w:p>
    <w:p w14:paraId="71397291">
      <w:pPr>
        <w:pStyle w:val="187"/>
        <w:spacing w:line="360" w:lineRule="auto"/>
        <w:rPr>
          <w:rFonts w:hint="eastAsia"/>
          <w:color w:val="auto"/>
          <w:sz w:val="28"/>
          <w:szCs w:val="28"/>
          <w:highlight w:val="none"/>
        </w:rPr>
      </w:pPr>
      <w:r>
        <w:rPr>
          <w:rFonts w:hint="eastAsia"/>
          <w:bCs/>
          <w:color w:val="auto"/>
          <w:sz w:val="28"/>
          <w:szCs w:val="28"/>
          <w:highlight w:val="none"/>
        </w:rPr>
        <w:t>乙方（成）合同编号</w:t>
      </w:r>
      <w:r>
        <w:rPr>
          <w:rFonts w:hint="eastAsia"/>
          <w:color w:val="auto"/>
          <w:sz w:val="28"/>
          <w:szCs w:val="28"/>
          <w:highlight w:val="none"/>
        </w:rPr>
        <w:t>：</w:t>
      </w:r>
      <w:r>
        <w:rPr>
          <w:rFonts w:hint="eastAsia"/>
          <w:color w:val="auto"/>
          <w:sz w:val="28"/>
          <w:szCs w:val="28"/>
          <w:highlight w:val="none"/>
          <w:u w:val="single"/>
        </w:rPr>
        <w:t xml:space="preserve">                            </w:t>
      </w:r>
    </w:p>
    <w:p w14:paraId="43ED093B">
      <w:pPr>
        <w:pStyle w:val="187"/>
        <w:spacing w:line="360" w:lineRule="auto"/>
        <w:rPr>
          <w:rFonts w:hint="eastAsia"/>
          <w:color w:val="auto"/>
          <w:sz w:val="28"/>
          <w:szCs w:val="28"/>
          <w:highlight w:val="none"/>
        </w:rPr>
      </w:pPr>
      <w:r>
        <w:rPr>
          <w:rFonts w:hint="eastAsia"/>
          <w:bCs/>
          <w:color w:val="auto"/>
          <w:sz w:val="28"/>
          <w:szCs w:val="28"/>
          <w:highlight w:val="none"/>
        </w:rPr>
        <w:t>签订地点</w:t>
      </w:r>
      <w:r>
        <w:rPr>
          <w:rFonts w:hint="eastAsia"/>
          <w:color w:val="auto"/>
          <w:sz w:val="28"/>
          <w:szCs w:val="28"/>
          <w:highlight w:val="none"/>
        </w:rPr>
        <w:t>：</w:t>
      </w:r>
      <w:r>
        <w:rPr>
          <w:rFonts w:hint="eastAsia"/>
          <w:color w:val="auto"/>
          <w:sz w:val="28"/>
          <w:szCs w:val="28"/>
          <w:highlight w:val="none"/>
          <w:u w:val="single"/>
        </w:rPr>
        <w:t xml:space="preserve">中国广东省广州市 </w:t>
      </w:r>
    </w:p>
    <w:p w14:paraId="7787ED47">
      <w:pPr>
        <w:autoSpaceDE w:val="0"/>
        <w:autoSpaceDN w:val="0"/>
        <w:adjustRightInd w:val="0"/>
        <w:spacing w:line="360" w:lineRule="auto"/>
        <w:rPr>
          <w:rFonts w:hint="eastAsia" w:ascii="宋体" w:hAnsi="宋体" w:cs="宋体"/>
          <w:color w:val="auto"/>
          <w:kern w:val="0"/>
          <w:sz w:val="36"/>
          <w:szCs w:val="36"/>
          <w:highlight w:val="none"/>
        </w:rPr>
      </w:pPr>
      <w:r>
        <w:rPr>
          <w:rFonts w:hint="eastAsia" w:ascii="宋体" w:hAnsi="宋体" w:cs="宋体"/>
          <w:bCs/>
          <w:color w:val="auto"/>
          <w:sz w:val="28"/>
          <w:szCs w:val="28"/>
          <w:highlight w:val="none"/>
        </w:rPr>
        <w:t>签订日期</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年      月     日 </w:t>
      </w:r>
    </w:p>
    <w:p w14:paraId="34A6BC9F">
      <w:pPr>
        <w:autoSpaceDE w:val="0"/>
        <w:autoSpaceDN w:val="0"/>
        <w:adjustRightInd w:val="0"/>
        <w:spacing w:line="360" w:lineRule="auto"/>
        <w:rPr>
          <w:rFonts w:hint="eastAsia" w:ascii="宋体" w:hAnsi="宋体" w:cs="宋体"/>
          <w:color w:val="auto"/>
          <w:kern w:val="0"/>
          <w:sz w:val="36"/>
          <w:szCs w:val="36"/>
          <w:highlight w:val="none"/>
        </w:rPr>
      </w:pPr>
    </w:p>
    <w:p w14:paraId="7B9EF51A">
      <w:pPr>
        <w:pStyle w:val="2"/>
        <w:rPr>
          <w:rFonts w:hint="eastAsia" w:ascii="宋体" w:hAnsi="宋体" w:cs="宋体"/>
          <w:color w:val="auto"/>
          <w:kern w:val="0"/>
          <w:sz w:val="36"/>
          <w:szCs w:val="36"/>
          <w:highlight w:val="none"/>
        </w:rPr>
      </w:pPr>
    </w:p>
    <w:p w14:paraId="1C2DE261">
      <w:pPr>
        <w:rPr>
          <w:rFonts w:hint="eastAsia" w:ascii="宋体" w:hAnsi="宋体" w:cs="宋体"/>
          <w:color w:val="auto"/>
          <w:highlight w:val="none"/>
        </w:rPr>
      </w:pPr>
    </w:p>
    <w:p w14:paraId="27526780">
      <w:pPr>
        <w:pStyle w:val="2"/>
        <w:rPr>
          <w:rFonts w:hint="eastAsia" w:ascii="宋体" w:hAnsi="宋体" w:cs="宋体"/>
          <w:color w:val="auto"/>
          <w:kern w:val="0"/>
          <w:sz w:val="36"/>
          <w:szCs w:val="36"/>
          <w:highlight w:val="none"/>
        </w:rPr>
      </w:pPr>
    </w:p>
    <w:p w14:paraId="1F595F30">
      <w:pPr>
        <w:rPr>
          <w:rFonts w:hint="eastAsia" w:ascii="宋体" w:hAnsi="宋体" w:cs="宋体"/>
          <w:color w:val="auto"/>
          <w:highlight w:val="none"/>
        </w:rPr>
      </w:pPr>
    </w:p>
    <w:p w14:paraId="51ABEDFF">
      <w:pPr>
        <w:widowControl/>
        <w:jc w:val="left"/>
        <w:rPr>
          <w:rFonts w:hint="eastAsia" w:ascii="宋体" w:hAnsi="宋体" w:cs="宋体"/>
          <w:b/>
          <w:color w:val="auto"/>
          <w:sz w:val="32"/>
          <w:szCs w:val="32"/>
          <w:highlight w:val="none"/>
        </w:rPr>
      </w:pPr>
      <w:bookmarkStart w:id="0" w:name="_Toc287627913"/>
      <w:r>
        <w:rPr>
          <w:rFonts w:hint="eastAsia" w:ascii="宋体" w:hAnsi="宋体" w:cs="宋体"/>
          <w:b/>
          <w:color w:val="auto"/>
          <w:sz w:val="32"/>
          <w:szCs w:val="32"/>
          <w:highlight w:val="none"/>
        </w:rPr>
        <w:br w:type="page"/>
      </w:r>
    </w:p>
    <w:p w14:paraId="42A56511">
      <w:pPr>
        <w:pStyle w:val="188"/>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合　同　目  录</w:t>
      </w:r>
    </w:p>
    <w:p w14:paraId="5E231298">
      <w:pPr>
        <w:pStyle w:val="188"/>
        <w:spacing w:line="360" w:lineRule="auto"/>
        <w:jc w:val="left"/>
        <w:rPr>
          <w:rFonts w:hint="eastAsia" w:ascii="宋体" w:hAnsi="宋体" w:cs="宋体"/>
          <w:b/>
          <w:color w:val="auto"/>
          <w:sz w:val="32"/>
          <w:szCs w:val="32"/>
          <w:highlight w:val="none"/>
        </w:rPr>
      </w:pPr>
    </w:p>
    <w:p w14:paraId="028D2DC2">
      <w:pPr>
        <w:pStyle w:val="188"/>
        <w:spacing w:line="360" w:lineRule="auto"/>
        <w:ind w:firstLine="560" w:firstLineChars="2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第一篇 合同协议书</w:t>
      </w:r>
    </w:p>
    <w:p w14:paraId="7D212B76">
      <w:pPr>
        <w:pStyle w:val="188"/>
        <w:spacing w:line="360" w:lineRule="auto"/>
        <w:ind w:firstLine="560" w:firstLineChars="2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第二篇 工程勘察设计合同条款</w:t>
      </w:r>
    </w:p>
    <w:p w14:paraId="7C8D52B7">
      <w:pPr>
        <w:pStyle w:val="188"/>
        <w:spacing w:line="360" w:lineRule="auto"/>
        <w:ind w:firstLine="560" w:firstLineChars="2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第三篇 工程施工总承包合同条款</w:t>
      </w:r>
    </w:p>
    <w:p w14:paraId="54AB2932">
      <w:pPr>
        <w:pStyle w:val="188"/>
        <w:spacing w:line="360" w:lineRule="auto"/>
        <w:ind w:firstLine="560" w:firstLineChars="2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第四篇 组成合同附件</w:t>
      </w:r>
    </w:p>
    <w:p w14:paraId="4558409A">
      <w:pPr>
        <w:pStyle w:val="188"/>
        <w:spacing w:line="360" w:lineRule="auto"/>
        <w:ind w:firstLine="1271" w:firstLineChars="397"/>
        <w:jc w:val="left"/>
        <w:rPr>
          <w:rFonts w:hint="eastAsia" w:ascii="宋体" w:hAnsi="宋体" w:cs="宋体"/>
          <w:color w:val="auto"/>
          <w:highlight w:val="none"/>
        </w:rPr>
      </w:pPr>
      <w:r>
        <w:rPr>
          <w:rFonts w:hint="eastAsia" w:ascii="宋体" w:hAnsi="宋体" w:cs="宋体"/>
          <w:b/>
          <w:color w:val="auto"/>
          <w:sz w:val="32"/>
          <w:szCs w:val="32"/>
          <w:highlight w:val="none"/>
        </w:rPr>
        <w:t xml:space="preserve">  </w:t>
      </w:r>
    </w:p>
    <w:p w14:paraId="65B31AD3">
      <w:pPr>
        <w:spacing w:line="360" w:lineRule="auto"/>
        <w:rPr>
          <w:rFonts w:hint="eastAsia" w:ascii="宋体" w:hAnsi="宋体" w:cs="宋体"/>
          <w:color w:val="auto"/>
          <w:highlight w:val="none"/>
        </w:rPr>
      </w:pPr>
    </w:p>
    <w:p w14:paraId="23190A6A">
      <w:pPr>
        <w:spacing w:line="360" w:lineRule="auto"/>
        <w:rPr>
          <w:rFonts w:hint="eastAsia" w:ascii="宋体" w:hAnsi="宋体" w:cs="宋体"/>
          <w:color w:val="auto"/>
          <w:highlight w:val="none"/>
        </w:rPr>
      </w:pPr>
    </w:p>
    <w:p w14:paraId="12B13E5B">
      <w:pPr>
        <w:spacing w:line="360" w:lineRule="auto"/>
        <w:rPr>
          <w:rFonts w:hint="eastAsia" w:ascii="宋体" w:hAnsi="宋体" w:cs="宋体"/>
          <w:color w:val="auto"/>
          <w:highlight w:val="none"/>
        </w:rPr>
      </w:pPr>
    </w:p>
    <w:p w14:paraId="34B1E53A">
      <w:pPr>
        <w:spacing w:line="360" w:lineRule="auto"/>
        <w:rPr>
          <w:rFonts w:hint="eastAsia" w:ascii="宋体" w:hAnsi="宋体" w:cs="宋体"/>
          <w:color w:val="auto"/>
          <w:highlight w:val="none"/>
        </w:rPr>
      </w:pPr>
    </w:p>
    <w:p w14:paraId="27B3B671">
      <w:pPr>
        <w:pStyle w:val="189"/>
        <w:spacing w:line="360" w:lineRule="auto"/>
        <w:ind w:firstLine="0" w:firstLineChars="0"/>
        <w:rPr>
          <w:rFonts w:hint="eastAsia" w:ascii="宋体" w:hAnsi="宋体" w:cs="宋体"/>
          <w:color w:val="auto"/>
          <w:highlight w:val="none"/>
        </w:rPr>
      </w:pPr>
    </w:p>
    <w:p w14:paraId="346AD4C2">
      <w:pPr>
        <w:pStyle w:val="190"/>
        <w:spacing w:line="360" w:lineRule="auto"/>
        <w:rPr>
          <w:rFonts w:hint="eastAsia" w:ascii="宋体" w:hAnsi="宋体" w:eastAsia="宋体" w:cs="宋体"/>
          <w:color w:val="auto"/>
          <w:highlight w:val="none"/>
        </w:rPr>
      </w:pPr>
    </w:p>
    <w:p w14:paraId="0170E9CD">
      <w:pPr>
        <w:pStyle w:val="190"/>
        <w:spacing w:line="360" w:lineRule="auto"/>
        <w:rPr>
          <w:rFonts w:hint="eastAsia" w:ascii="宋体" w:hAnsi="宋体" w:eastAsia="宋体" w:cs="宋体"/>
          <w:color w:val="auto"/>
          <w:highlight w:val="none"/>
        </w:rPr>
      </w:pPr>
    </w:p>
    <w:bookmarkEnd w:id="0"/>
    <w:p w14:paraId="63C61059">
      <w:pPr>
        <w:spacing w:line="360" w:lineRule="auto"/>
        <w:jc w:val="center"/>
        <w:rPr>
          <w:rFonts w:hint="eastAsia" w:ascii="宋体" w:hAnsi="宋体" w:cs="宋体"/>
          <w:color w:val="auto"/>
          <w:sz w:val="28"/>
          <w:szCs w:val="28"/>
          <w:highlight w:val="none"/>
          <w:u w:val="single"/>
        </w:rPr>
      </w:pPr>
      <w:bookmarkStart w:id="1" w:name="_Toc287627921"/>
      <w:r>
        <w:rPr>
          <w:rFonts w:hint="eastAsia" w:ascii="宋体" w:hAnsi="宋体" w:cs="宋体"/>
          <w:color w:val="auto"/>
          <w:sz w:val="28"/>
          <w:szCs w:val="28"/>
          <w:highlight w:val="none"/>
        </w:rPr>
        <w:t xml:space="preserve">   </w:t>
      </w:r>
    </w:p>
    <w:p w14:paraId="406E0CFC">
      <w:pPr>
        <w:spacing w:line="360" w:lineRule="auto"/>
        <w:rPr>
          <w:rFonts w:hint="eastAsia" w:ascii="宋体" w:hAnsi="宋体" w:cs="宋体"/>
          <w:color w:val="auto"/>
          <w:sz w:val="30"/>
          <w:szCs w:val="30"/>
          <w:highlight w:val="none"/>
        </w:rPr>
      </w:pPr>
      <w:r>
        <w:rPr>
          <w:rFonts w:hint="eastAsia" w:ascii="宋体" w:hAnsi="宋体" w:cs="宋体"/>
          <w:color w:val="auto"/>
          <w:highlight w:val="none"/>
        </w:rPr>
        <w:t xml:space="preserve"> </w:t>
      </w:r>
    </w:p>
    <w:p w14:paraId="58F4FF01">
      <w:pPr>
        <w:pStyle w:val="49"/>
        <w:snapToGrid w:val="0"/>
        <w:spacing w:line="360" w:lineRule="auto"/>
        <w:jc w:val="center"/>
        <w:rPr>
          <w:rFonts w:hint="eastAsia" w:ascii="宋体" w:hAnsi="宋体" w:cs="宋体"/>
          <w:color w:val="auto"/>
          <w:highlight w:val="none"/>
        </w:rPr>
      </w:pPr>
      <w:r>
        <w:rPr>
          <w:rFonts w:hint="eastAsia" w:ascii="宋体" w:hAnsi="宋体" w:cs="宋体"/>
          <w:b/>
          <w:bCs/>
          <w:color w:val="auto"/>
          <w:sz w:val="24"/>
          <w:highlight w:val="none"/>
        </w:rPr>
        <w:br w:type="page" w:clear="all"/>
      </w:r>
      <w:r>
        <w:rPr>
          <w:rFonts w:hint="eastAsia" w:ascii="宋体" w:hAnsi="宋体" w:cs="宋体"/>
          <w:bCs/>
          <w:color w:val="auto"/>
          <w:kern w:val="0"/>
          <w:sz w:val="36"/>
          <w:szCs w:val="44"/>
          <w:highlight w:val="none"/>
        </w:rPr>
        <w:t>第一篇  合同协议书</w:t>
      </w:r>
    </w:p>
    <w:p w14:paraId="49E7B2F0">
      <w:pPr>
        <w:autoSpaceDE w:val="0"/>
        <w:autoSpaceDN w:val="0"/>
        <w:adjustRightInd w:val="0"/>
        <w:spacing w:before="4" w:line="360" w:lineRule="auto"/>
        <w:jc w:val="left"/>
        <w:rPr>
          <w:rFonts w:hint="eastAsia" w:ascii="宋体" w:hAnsi="宋体" w:cs="宋体"/>
          <w:color w:val="auto"/>
          <w:kern w:val="0"/>
          <w:sz w:val="13"/>
          <w:szCs w:val="13"/>
          <w:highlight w:val="none"/>
        </w:rPr>
      </w:pPr>
    </w:p>
    <w:p w14:paraId="58C87867">
      <w:pPr>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color w:val="auto"/>
          <w:sz w:val="24"/>
          <w:highlight w:val="none"/>
        </w:rPr>
        <w:t>甲方</w:t>
      </w:r>
      <w:r>
        <w:rPr>
          <w:rFonts w:hint="eastAsia" w:ascii="宋体" w:hAnsi="宋体" w:cs="宋体"/>
          <w:b/>
          <w:snapToGrid w:val="0"/>
          <w:color w:val="auto"/>
          <w:kern w:val="13"/>
          <w:sz w:val="24"/>
          <w:highlight w:val="none"/>
        </w:rPr>
        <w:t>：</w:t>
      </w:r>
      <w:r>
        <w:rPr>
          <w:rFonts w:hint="eastAsia" w:ascii="宋体" w:hAnsi="宋体" w:cs="宋体"/>
          <w:b/>
          <w:snapToGrid w:val="0"/>
          <w:color w:val="auto"/>
          <w:kern w:val="13"/>
          <w:sz w:val="24"/>
          <w:highlight w:val="none"/>
          <w:u w:val="single"/>
        </w:rPr>
        <w:t xml:space="preserve">                   </w:t>
      </w:r>
    </w:p>
    <w:p w14:paraId="1DBFF1BE">
      <w:pPr>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法定代表人：</w:t>
      </w:r>
      <w:r>
        <w:rPr>
          <w:rFonts w:hint="eastAsia" w:ascii="宋体" w:hAnsi="宋体" w:cs="宋体"/>
          <w:b/>
          <w:snapToGrid w:val="0"/>
          <w:color w:val="auto"/>
          <w:kern w:val="13"/>
          <w:sz w:val="24"/>
          <w:highlight w:val="none"/>
          <w:u w:val="single"/>
        </w:rPr>
        <w:t xml:space="preserve">                                   </w:t>
      </w:r>
    </w:p>
    <w:p w14:paraId="67A9D632">
      <w:pPr>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通信地址：</w:t>
      </w:r>
      <w:r>
        <w:rPr>
          <w:rFonts w:hint="eastAsia" w:ascii="宋体" w:hAnsi="宋体" w:cs="宋体"/>
          <w:b/>
          <w:snapToGrid w:val="0"/>
          <w:color w:val="auto"/>
          <w:kern w:val="13"/>
          <w:sz w:val="24"/>
          <w:highlight w:val="none"/>
          <w:u w:val="single"/>
        </w:rPr>
        <w:t xml:space="preserve">             </w:t>
      </w:r>
    </w:p>
    <w:p w14:paraId="798B23A3">
      <w:pPr>
        <w:spacing w:line="360" w:lineRule="auto"/>
        <w:ind w:firstLine="480" w:firstLineChars="200"/>
        <w:rPr>
          <w:rFonts w:hint="eastAsia" w:ascii="宋体" w:hAnsi="宋体" w:cs="宋体"/>
          <w:b/>
          <w:snapToGrid w:val="0"/>
          <w:color w:val="auto"/>
          <w:kern w:val="13"/>
          <w:sz w:val="24"/>
          <w:highlight w:val="none"/>
          <w:u w:val="single"/>
        </w:rPr>
      </w:pPr>
    </w:p>
    <w:p w14:paraId="69E31E7F">
      <w:pPr>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乙方(主)：</w:t>
      </w:r>
      <w:r>
        <w:rPr>
          <w:rFonts w:hint="eastAsia" w:ascii="宋体" w:hAnsi="宋体" w:cs="宋体"/>
          <w:color w:val="auto"/>
          <w:sz w:val="24"/>
          <w:highlight w:val="none"/>
          <w:u w:val="single"/>
        </w:rPr>
        <w:t xml:space="preserve"> </w:t>
      </w:r>
      <w:r>
        <w:rPr>
          <w:rFonts w:hint="eastAsia" w:ascii="宋体" w:hAnsi="宋体" w:cs="宋体"/>
          <w:b/>
          <w:snapToGrid w:val="0"/>
          <w:color w:val="auto"/>
          <w:kern w:val="13"/>
          <w:sz w:val="24"/>
          <w:highlight w:val="none"/>
          <w:u w:val="single"/>
        </w:rPr>
        <w:t xml:space="preserve">                      </w:t>
      </w:r>
    </w:p>
    <w:p w14:paraId="4915D8C2">
      <w:pPr>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法定代表人：</w:t>
      </w:r>
      <w:r>
        <w:rPr>
          <w:rFonts w:hint="eastAsia" w:ascii="宋体" w:hAnsi="宋体" w:cs="宋体"/>
          <w:b/>
          <w:snapToGrid w:val="0"/>
          <w:color w:val="auto"/>
          <w:kern w:val="13"/>
          <w:sz w:val="24"/>
          <w:highlight w:val="none"/>
          <w:u w:val="single"/>
        </w:rPr>
        <w:t xml:space="preserve">                                   </w:t>
      </w:r>
    </w:p>
    <w:p w14:paraId="66297685">
      <w:pPr>
        <w:autoSpaceDE w:val="0"/>
        <w:autoSpaceDN w:val="0"/>
        <w:adjustRightInd w:val="0"/>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通信地址：</w:t>
      </w:r>
      <w:r>
        <w:rPr>
          <w:rFonts w:hint="eastAsia" w:ascii="宋体" w:hAnsi="宋体" w:cs="宋体"/>
          <w:b/>
          <w:snapToGrid w:val="0"/>
          <w:color w:val="auto"/>
          <w:kern w:val="13"/>
          <w:sz w:val="24"/>
          <w:highlight w:val="none"/>
          <w:u w:val="single"/>
        </w:rPr>
        <w:t xml:space="preserve">                 </w:t>
      </w:r>
    </w:p>
    <w:p w14:paraId="5FB4C9AB">
      <w:pPr>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乙方(成)：</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b/>
          <w:snapToGrid w:val="0"/>
          <w:color w:val="auto"/>
          <w:kern w:val="13"/>
          <w:sz w:val="24"/>
          <w:highlight w:val="none"/>
          <w:u w:val="single"/>
        </w:rPr>
        <w:t xml:space="preserve">    </w:t>
      </w:r>
    </w:p>
    <w:p w14:paraId="35A9A0E7">
      <w:pPr>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法定代表人：</w:t>
      </w:r>
      <w:r>
        <w:rPr>
          <w:rFonts w:hint="eastAsia" w:ascii="宋体" w:hAnsi="宋体" w:cs="宋体"/>
          <w:b/>
          <w:snapToGrid w:val="0"/>
          <w:color w:val="auto"/>
          <w:kern w:val="13"/>
          <w:sz w:val="24"/>
          <w:highlight w:val="none"/>
          <w:u w:val="single"/>
        </w:rPr>
        <w:t xml:space="preserve">                           </w:t>
      </w:r>
    </w:p>
    <w:p w14:paraId="5078D242">
      <w:pPr>
        <w:autoSpaceDE w:val="0"/>
        <w:autoSpaceDN w:val="0"/>
        <w:adjustRightInd w:val="0"/>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通信地址：</w:t>
      </w:r>
      <w:r>
        <w:rPr>
          <w:rFonts w:hint="eastAsia" w:ascii="宋体" w:hAnsi="宋体" w:cs="宋体"/>
          <w:b/>
          <w:snapToGrid w:val="0"/>
          <w:color w:val="auto"/>
          <w:kern w:val="13"/>
          <w:sz w:val="24"/>
          <w:highlight w:val="none"/>
          <w:u w:val="single"/>
        </w:rPr>
        <w:t xml:space="preserve">                  </w:t>
      </w:r>
    </w:p>
    <w:p w14:paraId="278FFD94">
      <w:pPr>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乙方(成)：</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b/>
          <w:snapToGrid w:val="0"/>
          <w:color w:val="auto"/>
          <w:kern w:val="13"/>
          <w:sz w:val="24"/>
          <w:highlight w:val="none"/>
          <w:u w:val="single"/>
        </w:rPr>
        <w:t xml:space="preserve">    </w:t>
      </w:r>
    </w:p>
    <w:p w14:paraId="59FFD9D3">
      <w:pPr>
        <w:spacing w:line="360" w:lineRule="auto"/>
        <w:ind w:firstLine="480" w:firstLineChars="200"/>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法定代表人：</w:t>
      </w:r>
      <w:r>
        <w:rPr>
          <w:rFonts w:hint="eastAsia" w:ascii="宋体" w:hAnsi="宋体" w:cs="宋体"/>
          <w:b/>
          <w:snapToGrid w:val="0"/>
          <w:color w:val="auto"/>
          <w:kern w:val="13"/>
          <w:sz w:val="24"/>
          <w:highlight w:val="none"/>
          <w:u w:val="single"/>
        </w:rPr>
        <w:t xml:space="preserve">                           </w:t>
      </w:r>
    </w:p>
    <w:p w14:paraId="4754634C">
      <w:pPr>
        <w:autoSpaceDE w:val="0"/>
        <w:autoSpaceDN w:val="0"/>
        <w:adjustRightInd w:val="0"/>
        <w:spacing w:line="360" w:lineRule="auto"/>
        <w:ind w:firstLine="480" w:firstLineChars="200"/>
        <w:rPr>
          <w:rFonts w:hint="eastAsia" w:ascii="宋体" w:hAnsi="宋体" w:cs="宋体"/>
          <w:color w:val="auto"/>
          <w:kern w:val="0"/>
          <w:sz w:val="20"/>
          <w:szCs w:val="20"/>
          <w:highlight w:val="none"/>
        </w:rPr>
      </w:pPr>
      <w:r>
        <w:rPr>
          <w:rFonts w:hint="eastAsia" w:ascii="宋体" w:hAnsi="宋体" w:cs="宋体"/>
          <w:b/>
          <w:snapToGrid w:val="0"/>
          <w:color w:val="auto"/>
          <w:kern w:val="13"/>
          <w:sz w:val="24"/>
          <w:highlight w:val="none"/>
        </w:rPr>
        <w:t>通信地址：</w:t>
      </w:r>
      <w:r>
        <w:rPr>
          <w:rFonts w:hint="eastAsia" w:ascii="宋体" w:hAnsi="宋体" w:cs="宋体"/>
          <w:b/>
          <w:snapToGrid w:val="0"/>
          <w:color w:val="auto"/>
          <w:kern w:val="13"/>
          <w:sz w:val="24"/>
          <w:highlight w:val="none"/>
          <w:u w:val="single"/>
        </w:rPr>
        <w:t xml:space="preserve">                  </w:t>
      </w:r>
    </w:p>
    <w:p w14:paraId="1685D6D9">
      <w:pPr>
        <w:pStyle w:val="2"/>
        <w:rPr>
          <w:rFonts w:hint="eastAsia"/>
          <w:color w:val="auto"/>
          <w:highlight w:val="none"/>
        </w:rPr>
      </w:pPr>
    </w:p>
    <w:p w14:paraId="462709B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依照《中华人民共和国民法典》、《中华人民共和国建筑法》及其他有关法律、行政法规，遵循平等、自愿、公平和诚实信用的原则，双方就本勘察设计、建设工程施工事项协商一致，订立本合同。</w:t>
      </w:r>
    </w:p>
    <w:p w14:paraId="62AB8B5D">
      <w:pPr>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一、工程概况</w:t>
      </w:r>
    </w:p>
    <w:p w14:paraId="6A0E543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工程名称：</w:t>
      </w:r>
      <w:r>
        <w:rPr>
          <w:rFonts w:hint="eastAsia" w:ascii="宋体" w:hAnsi="宋体" w:cs="宋体"/>
          <w:color w:val="auto"/>
          <w:sz w:val="24"/>
          <w:highlight w:val="none"/>
          <w:u w:val="single"/>
        </w:rPr>
        <w:t>荔湾区山村城中村改造(一期)项目临时管线迁改勘察设计施工总承包项目</w:t>
      </w:r>
      <w:r>
        <w:rPr>
          <w:rFonts w:hint="eastAsia" w:ascii="宋体" w:hAnsi="宋体" w:cs="宋体"/>
          <w:color w:val="auto"/>
          <w:sz w:val="24"/>
          <w:highlight w:val="none"/>
        </w:rPr>
        <w:t>。</w:t>
      </w:r>
    </w:p>
    <w:p w14:paraId="42C27FC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工程地点：</w:t>
      </w:r>
      <w:r>
        <w:rPr>
          <w:rFonts w:hint="eastAsia" w:ascii="宋体" w:hAnsi="宋体" w:cs="宋体"/>
          <w:color w:val="auto"/>
          <w:sz w:val="24"/>
          <w:highlight w:val="none"/>
          <w:u w:val="single"/>
        </w:rPr>
        <w:t>广州市</w:t>
      </w:r>
      <w:r>
        <w:rPr>
          <w:rFonts w:hint="eastAsia" w:ascii="宋体" w:hAnsi="宋体" w:cs="宋体"/>
          <w:color w:val="auto"/>
          <w:sz w:val="24"/>
          <w:highlight w:val="none"/>
        </w:rPr>
        <w:t xml:space="preserve">                   </w:t>
      </w:r>
    </w:p>
    <w:p w14:paraId="3AABCF8D">
      <w:pPr>
        <w:spacing w:line="360" w:lineRule="auto"/>
        <w:ind w:firstLine="424"/>
        <w:rPr>
          <w:rFonts w:hint="eastAsia" w:ascii="宋体" w:hAnsi="宋体" w:cs="宋体"/>
          <w:color w:val="auto"/>
          <w:sz w:val="24"/>
          <w:highlight w:val="none"/>
        </w:rPr>
      </w:pPr>
      <w:r>
        <w:rPr>
          <w:rFonts w:hint="eastAsia" w:ascii="宋体" w:hAnsi="宋体" w:cs="宋体"/>
          <w:color w:val="auto"/>
          <w:sz w:val="24"/>
          <w:highlight w:val="none"/>
        </w:rPr>
        <w:t>工程内容：</w:t>
      </w:r>
      <w:r>
        <w:rPr>
          <w:rFonts w:hint="eastAsia" w:ascii="宋体" w:hAnsi="宋体"/>
          <w:color w:val="auto"/>
          <w:sz w:val="24"/>
          <w:highlight w:val="none"/>
        </w:rPr>
        <w:t>工程范围内的管线迁改勘察设计及施工。</w:t>
      </w:r>
    </w:p>
    <w:p w14:paraId="6C463627">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资金来源：</w:t>
      </w:r>
      <w:r>
        <w:rPr>
          <w:rFonts w:hint="eastAsia" w:ascii="宋体" w:hAnsi="宋体" w:cs="宋体"/>
          <w:color w:val="auto"/>
          <w:sz w:val="24"/>
          <w:highlight w:val="none"/>
          <w:u w:val="single"/>
        </w:rPr>
        <w:t>城中村改造项目专项借款资金</w:t>
      </w:r>
      <w:r>
        <w:rPr>
          <w:rFonts w:hint="eastAsia" w:ascii="宋体" w:hAnsi="宋体" w:cs="宋体"/>
          <w:color w:val="auto"/>
          <w:sz w:val="24"/>
          <w:highlight w:val="none"/>
        </w:rPr>
        <w:t>。</w:t>
      </w:r>
    </w:p>
    <w:p w14:paraId="5C985F84">
      <w:pPr>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二、工程承包范围及承包方式</w:t>
      </w:r>
    </w:p>
    <w:p w14:paraId="1B5209C0">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b/>
          <w:bCs/>
          <w:color w:val="auto"/>
          <w:sz w:val="24"/>
          <w:highlight w:val="none"/>
        </w:rPr>
        <w:t>（一）承包范围：</w:t>
      </w:r>
      <w:r>
        <w:rPr>
          <w:rFonts w:hint="eastAsia" w:ascii="宋体" w:hAnsi="宋体" w:cs="宋体"/>
          <w:color w:val="auto"/>
          <w:sz w:val="24"/>
          <w:szCs w:val="24"/>
          <w:highlight w:val="none"/>
        </w:rPr>
        <w:t>对本项目招标范围配合项目主体施工的管线迁改方案勘察设计、施工图勘察设计以及勘察设计协调服务、管线迁改施工、办理验收等工作。包括但不限于以下内容：</w:t>
      </w:r>
    </w:p>
    <w:p w14:paraId="354CC57F">
      <w:pPr>
        <w:spacing w:line="360" w:lineRule="auto"/>
        <w:ind w:firstLine="537" w:firstLineChars="224"/>
        <w:rPr>
          <w:rFonts w:hint="eastAsia" w:ascii="宋体" w:hAnsi="宋体"/>
          <w:color w:val="auto"/>
          <w:sz w:val="24"/>
          <w:szCs w:val="24"/>
          <w:highlight w:val="none"/>
        </w:rPr>
      </w:pPr>
      <w:r>
        <w:rPr>
          <w:rFonts w:hint="eastAsia" w:ascii="宋体" w:hAnsi="宋体"/>
          <w:color w:val="auto"/>
          <w:sz w:val="24"/>
          <w:szCs w:val="24"/>
          <w:highlight w:val="none"/>
        </w:rPr>
        <w:t xml:space="preserve">1.工程前期阶段 </w:t>
      </w:r>
    </w:p>
    <w:p w14:paraId="5D415C32">
      <w:pPr>
        <w:spacing w:line="360" w:lineRule="auto"/>
        <w:ind w:firstLine="538" w:firstLineChars="224"/>
        <w:rPr>
          <w:rFonts w:hint="eastAsia" w:ascii="宋体" w:hAnsi="宋体"/>
          <w:color w:val="auto"/>
          <w:sz w:val="24"/>
          <w:szCs w:val="24"/>
          <w:highlight w:val="none"/>
        </w:rPr>
      </w:pPr>
      <w:r>
        <w:rPr>
          <w:rFonts w:hint="eastAsia" w:ascii="宋体" w:hAnsi="宋体"/>
          <w:b/>
          <w:bCs/>
          <w:color w:val="auto"/>
          <w:sz w:val="24"/>
          <w:szCs w:val="24"/>
          <w:highlight w:val="none"/>
        </w:rPr>
        <w:t>管线迁改</w:t>
      </w:r>
      <w:r>
        <w:rPr>
          <w:rFonts w:hint="eastAsia" w:ascii="宋体" w:hAnsi="宋体" w:cs="宋体"/>
          <w:b/>
          <w:color w:val="auto"/>
          <w:sz w:val="24"/>
          <w:highlight w:val="none"/>
          <w:u w:val="single"/>
        </w:rPr>
        <w:t>勘察设计部分</w:t>
      </w:r>
      <w:r>
        <w:rPr>
          <w:rFonts w:hint="eastAsia" w:ascii="宋体" w:hAnsi="宋体" w:cs="宋体"/>
          <w:bCs/>
          <w:color w:val="auto"/>
          <w:sz w:val="24"/>
          <w:highlight w:val="none"/>
          <w:u w:val="single"/>
        </w:rPr>
        <w:t>：管线迁改方案勘察设计、概算编制、施工图预算编制、概算审核配合服务、施工图预算审查配合服务等工作，以及勘察设计协调服务，配合专家评审等工作。</w:t>
      </w:r>
    </w:p>
    <w:p w14:paraId="2F7AD9CF">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2.工程实施阶段</w:t>
      </w:r>
    </w:p>
    <w:p w14:paraId="1702A667">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按照招标文件及合同约定的范围和招标人批复的施工图进行施工总承包，范围主要包括：</w:t>
      </w:r>
    </w:p>
    <w:p w14:paraId="5BB68CD7">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（1）完成本项目所需的所有的施工工作（含施工准备）。</w:t>
      </w:r>
    </w:p>
    <w:p w14:paraId="054602A1">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（2）根据管线迁改勘察设计图纸，包括：本次招标范围区域的通信、供水等管道设施迁改等施工内容。</w:t>
      </w:r>
    </w:p>
    <w:p w14:paraId="69DF8AE4">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（3）配合相关部门结（决）算审核、竣工图编制、工程保修等工作。</w:t>
      </w:r>
    </w:p>
    <w:p w14:paraId="3FE033B4">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（4）组织本项目的验收备案和工程资料汇总及整理归档工作。</w:t>
      </w:r>
    </w:p>
    <w:p w14:paraId="172C694B">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（5）负责协助办理工程开工及验收所需的各项手续、完成施工其它相关工作。</w:t>
      </w:r>
    </w:p>
    <w:p w14:paraId="5B18F30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（6）负责协调施工过程中的相关职能部门等。</w:t>
      </w:r>
    </w:p>
    <w:p w14:paraId="183A3C83">
      <w:pPr>
        <w:pStyle w:val="2"/>
        <w:rPr>
          <w:rFonts w:hint="eastAsia" w:ascii="宋体" w:hAnsi="宋体" w:cs="宋体"/>
          <w:b/>
          <w:bCs/>
          <w:color w:val="auto"/>
          <w:sz w:val="24"/>
          <w:highlight w:val="none"/>
        </w:rPr>
      </w:pPr>
      <w:r>
        <w:rPr>
          <w:rFonts w:hint="eastAsia" w:ascii="宋体" w:hAnsi="宋体" w:cs="宋体"/>
          <w:b/>
          <w:bCs/>
          <w:color w:val="auto"/>
          <w:sz w:val="24"/>
          <w:highlight w:val="none"/>
        </w:rPr>
        <w:t>（二）承包方式：</w:t>
      </w:r>
    </w:p>
    <w:p w14:paraId="56E49E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承包人根据招标文件、有关资料及说明等对本项目实施勘察设计施工总承包：包勘察设计，包施工[包括但不限于包工、包料、包质量、包安全生产、包文明施工、包工期、包承包范围内工程验收通过、包通水、包通电、包通燃气、包通讯、包移交、包结算、包承包人应当购买的保险、包竣工图和竣工图编制（须满足规划等各专项验收要求），包竣工资料收集整理移交档案、包保修等]，包配合报批报建。合同价款根据招标文件和本合同约定的计价方式进行计价和结算。</w:t>
      </w:r>
    </w:p>
    <w:p w14:paraId="0F32C0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2.承包人职责分工：</w:t>
      </w:r>
    </w:p>
    <w:p w14:paraId="57F6735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为承包人联合体主办方，负责合同实施过程中的主办、组织和协调工作。其中主要负责本工程的施工工作及主办和组织协调工作；</w:t>
      </w:r>
    </w:p>
    <w:p w14:paraId="162802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主要负责本工程的勘察工作；</w:t>
      </w:r>
    </w:p>
    <w:p w14:paraId="459BBB8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主要负责本工程的勘察设计工作；</w:t>
      </w:r>
    </w:p>
    <w:p w14:paraId="1B1A34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主要负责本工程的施工工作；</w:t>
      </w:r>
    </w:p>
    <w:p w14:paraId="574F15F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合体主办方和成员方共同与甲方签订本合同，联合体各方应为履行合同承担连带责任。联合体协议书作为本合同附件。在履行合同过程中，未经甲方同意，不得修改联合体协议。联合体主办方（牵头人）负责与甲方和监理人联系，并接受指示，负责组织联合体各成员全面履行合同。</w:t>
      </w:r>
    </w:p>
    <w:p w14:paraId="100A196B">
      <w:pPr>
        <w:pStyle w:val="16"/>
        <w:spacing w:line="360" w:lineRule="auto"/>
        <w:ind w:firstLine="200"/>
        <w:rPr>
          <w:color w:val="auto"/>
          <w:highlight w:val="none"/>
        </w:rPr>
      </w:pPr>
      <w:r>
        <w:rPr>
          <w:rFonts w:hint="eastAsia" w:hAnsi="宋体" w:cs="宋体"/>
          <w:color w:val="auto"/>
          <w:sz w:val="24"/>
          <w:szCs w:val="24"/>
          <w:highlight w:val="none"/>
        </w:rPr>
        <w:t xml:space="preserve">   </w:t>
      </w:r>
      <w:r>
        <w:rPr>
          <w:rFonts w:hint="eastAsia" w:hAnsi="宋体" w:cs="宋体"/>
          <w:color w:val="auto"/>
          <w:kern w:val="2"/>
          <w:sz w:val="24"/>
          <w:szCs w:val="24"/>
          <w:highlight w:val="none"/>
        </w:rPr>
        <w:t xml:space="preserve"> 联合体各成员单位应收的款项，统一由联合体牵头单位负责向甲方提交请款资料；请款经监理人及甲方审核后，款项分别支付至联合体各成员单位账户，并由收款的各成员单位分别向甲方开具收款发票。</w:t>
      </w:r>
    </w:p>
    <w:p w14:paraId="6E7DE74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联合体主办方须按国家、地方、行业规定以及甲方要求的工程措施、安全措施、文明措施对项目工程总承包管理。</w:t>
      </w:r>
    </w:p>
    <w:p w14:paraId="37C9CEF3">
      <w:pPr>
        <w:rPr>
          <w:rFonts w:hint="eastAsia"/>
          <w:color w:val="auto"/>
          <w:highlight w:val="none"/>
        </w:rPr>
      </w:pPr>
    </w:p>
    <w:p w14:paraId="67301ED8">
      <w:pPr>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三、合同工期</w:t>
      </w:r>
    </w:p>
    <w:p w14:paraId="547AF7F9">
      <w:pPr>
        <w:autoSpaceDE w:val="0"/>
        <w:autoSpaceDN w:val="0"/>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开工</w:t>
      </w:r>
      <w:r>
        <w:rPr>
          <w:rFonts w:ascii="宋体" w:hAnsi="宋体"/>
          <w:color w:val="auto"/>
          <w:sz w:val="24"/>
          <w:highlight w:val="none"/>
        </w:rPr>
        <w:t>日期</w:t>
      </w:r>
      <w:r>
        <w:rPr>
          <w:rFonts w:hint="eastAsia" w:ascii="宋体" w:hAnsi="宋体" w:cs="宋体"/>
          <w:color w:val="auto"/>
          <w:sz w:val="24"/>
          <w:szCs w:val="24"/>
          <w:highlight w:val="none"/>
        </w:rPr>
        <w:t>具体以甲方或监理人发出的开工令为准；配合房屋拆卸，按拆卸服务合同工期，具体以甲方通知为准。</w:t>
      </w:r>
    </w:p>
    <w:p w14:paraId="0C87F748">
      <w:pPr>
        <w:autoSpaceDE w:val="0"/>
        <w:autoSpaceDN w:val="0"/>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实际施工工期节点待初步勘察设计经甲方审定后另行下达。</w:t>
      </w:r>
      <w:r>
        <w:rPr>
          <w:rFonts w:ascii="宋体" w:hAnsi="宋体"/>
          <w:color w:val="auto"/>
          <w:sz w:val="24"/>
          <w:highlight w:val="none"/>
        </w:rPr>
        <w:t>若实际开工日期较计划开工日期有提前或推迟，则节点工期中的相应日期可</w:t>
      </w:r>
      <w:r>
        <w:rPr>
          <w:rFonts w:hint="eastAsia" w:ascii="宋体" w:hAnsi="宋体"/>
          <w:color w:val="auto"/>
          <w:sz w:val="24"/>
          <w:highlight w:val="none"/>
        </w:rPr>
        <w:t>作</w:t>
      </w:r>
      <w:r>
        <w:rPr>
          <w:rFonts w:ascii="宋体" w:hAnsi="宋体"/>
          <w:color w:val="auto"/>
          <w:sz w:val="24"/>
          <w:highlight w:val="none"/>
        </w:rPr>
        <w:t>适当调整，竣工日期</w:t>
      </w:r>
      <w:r>
        <w:rPr>
          <w:rFonts w:hint="eastAsia" w:ascii="宋体" w:hAnsi="宋体"/>
          <w:color w:val="auto"/>
          <w:sz w:val="24"/>
          <w:highlight w:val="none"/>
        </w:rPr>
        <w:t>亦</w:t>
      </w:r>
      <w:r>
        <w:rPr>
          <w:rFonts w:ascii="宋体" w:hAnsi="宋体"/>
          <w:color w:val="auto"/>
          <w:sz w:val="24"/>
          <w:highlight w:val="none"/>
        </w:rPr>
        <w:t>相应提前</w:t>
      </w:r>
      <w:r>
        <w:rPr>
          <w:rFonts w:hint="eastAsia" w:ascii="宋体" w:hAnsi="宋体"/>
          <w:color w:val="auto"/>
          <w:sz w:val="24"/>
          <w:highlight w:val="none"/>
        </w:rPr>
        <w:t>或</w:t>
      </w:r>
      <w:r>
        <w:rPr>
          <w:rFonts w:ascii="宋体" w:hAnsi="宋体"/>
          <w:color w:val="auto"/>
          <w:sz w:val="24"/>
          <w:highlight w:val="none"/>
        </w:rPr>
        <w:t>推迟</w:t>
      </w:r>
      <w:r>
        <w:rPr>
          <w:rFonts w:hint="eastAsia" w:ascii="宋体" w:hAnsi="宋体"/>
          <w:color w:val="auto"/>
          <w:sz w:val="24"/>
          <w:highlight w:val="none"/>
        </w:rPr>
        <w:t>；</w:t>
      </w:r>
      <w:r>
        <w:rPr>
          <w:rFonts w:ascii="宋体" w:hAnsi="宋体"/>
          <w:color w:val="auto"/>
          <w:sz w:val="24"/>
          <w:highlight w:val="none"/>
        </w:rPr>
        <w:t>竣工日期为完成本工程项目全部</w:t>
      </w:r>
      <w:r>
        <w:rPr>
          <w:rFonts w:hint="eastAsia" w:ascii="宋体" w:hAnsi="宋体"/>
          <w:color w:val="auto"/>
          <w:sz w:val="24"/>
          <w:highlight w:val="none"/>
        </w:rPr>
        <w:t>工程</w:t>
      </w:r>
      <w:r>
        <w:rPr>
          <w:rFonts w:ascii="宋体" w:hAnsi="宋体"/>
          <w:color w:val="auto"/>
          <w:sz w:val="24"/>
          <w:highlight w:val="none"/>
        </w:rPr>
        <w:t>内容（</w:t>
      </w:r>
      <w:r>
        <w:rPr>
          <w:rFonts w:hint="eastAsia" w:ascii="宋体" w:hAnsi="宋体"/>
          <w:color w:val="auto"/>
          <w:sz w:val="24"/>
          <w:highlight w:val="none"/>
        </w:rPr>
        <w:t>包括</w:t>
      </w:r>
      <w:r>
        <w:rPr>
          <w:rFonts w:ascii="宋体" w:hAnsi="宋体"/>
          <w:color w:val="auto"/>
          <w:sz w:val="24"/>
          <w:highlight w:val="none"/>
        </w:rPr>
        <w:t>所有专业工程）</w:t>
      </w:r>
      <w:r>
        <w:rPr>
          <w:rFonts w:hint="eastAsia" w:ascii="宋体" w:hAnsi="宋体"/>
          <w:color w:val="auto"/>
          <w:sz w:val="24"/>
          <w:highlight w:val="none"/>
        </w:rPr>
        <w:t>的</w:t>
      </w:r>
      <w:r>
        <w:rPr>
          <w:rFonts w:ascii="宋体" w:hAnsi="宋体"/>
          <w:color w:val="auto"/>
          <w:sz w:val="24"/>
          <w:highlight w:val="none"/>
        </w:rPr>
        <w:t>时间。</w:t>
      </w:r>
    </w:p>
    <w:p w14:paraId="4848941F">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四、质量标准</w:t>
      </w:r>
    </w:p>
    <w:p w14:paraId="23673CF5">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工程质量标准：</w:t>
      </w:r>
      <w:r>
        <w:rPr>
          <w:rFonts w:hint="eastAsia" w:ascii="宋体" w:hAnsi="宋体" w:cs="宋体"/>
          <w:color w:val="auto"/>
          <w:sz w:val="24"/>
          <w:highlight w:val="none"/>
          <w:u w:val="single"/>
        </w:rPr>
        <w:t>达到国家或行业质量检验评定的合格标准</w:t>
      </w:r>
      <w:r>
        <w:rPr>
          <w:rFonts w:hint="eastAsia" w:ascii="宋体" w:hAnsi="宋体" w:cs="宋体"/>
          <w:color w:val="auto"/>
          <w:sz w:val="24"/>
          <w:highlight w:val="none"/>
        </w:rPr>
        <w:t>。</w:t>
      </w:r>
    </w:p>
    <w:p w14:paraId="4A9A58B9">
      <w:pPr>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五、合同价款</w:t>
      </w:r>
    </w:p>
    <w:p w14:paraId="1E4A8342">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合同价款（含税）暂定为        元（大写：       ），其中勘察费暂定为      元，下浮率    ，税率   %；设计费暂定为      元，下浮率    ，税率  %；建安工程费暂定为        元(其中暂列金额为     元)，下浮率     ，税率   %。 </w:t>
      </w:r>
    </w:p>
    <w:p w14:paraId="545C90AA">
      <w:pPr>
        <w:pStyle w:val="189"/>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合同期内如遇国家调整增值税税率，则按本合同未执行完的不含税价和调整后的增值税税率结算价款。不含税价=含税价÷（1+原增值税税率）。</w:t>
      </w:r>
    </w:p>
    <w:p w14:paraId="7E26BDBE">
      <w:pPr>
        <w:pStyle w:val="189"/>
        <w:spacing w:line="360" w:lineRule="auto"/>
        <w:ind w:firstLine="48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六、结算方式</w:t>
      </w:r>
    </w:p>
    <w:p w14:paraId="2F4A291F">
      <w:pPr>
        <w:pStyle w:val="189"/>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勘察设计费计算方式：勘察设计费=勘察设计服务收费基价*专业调整系数*工程复杂程度调整系数*附加调整系数*(1-中标下浮率)，勘察设计标准下浮率为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w:t>
      </w:r>
      <w:r>
        <w:rPr>
          <w:rFonts w:hint="eastAsia" w:ascii="宋体" w:hAnsi="宋体" w:cs="宋体"/>
          <w:color w:val="auto"/>
          <w:kern w:val="0"/>
          <w:sz w:val="24"/>
          <w:highlight w:val="none"/>
          <w:u w:val="single"/>
        </w:rPr>
        <w:t>建设业主</w:t>
      </w:r>
      <w:r>
        <w:rPr>
          <w:rFonts w:hint="eastAsia" w:ascii="宋体" w:hAnsi="宋体" w:cs="宋体"/>
          <w:color w:val="auto"/>
          <w:kern w:val="0"/>
          <w:sz w:val="24"/>
          <w:highlight w:val="none"/>
        </w:rPr>
        <w:t>审定的完整建安工程费预算价作为勘察设计费计费额，按勘察设计收费标准(计发【2002】10号)计算；若勘察设计费结算金额大于合同暂定价时，按合同暂定价结算。</w:t>
      </w:r>
    </w:p>
    <w:p w14:paraId="4B1850EB">
      <w:pPr>
        <w:pStyle w:val="189"/>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建安工程费结算方式：分部分项及单价措施项目费以审定施工图预算的综合单价包干（综合单价执行中标下浮率），工程量按实结算，措施项目费、其他项目费按实结算。</w:t>
      </w:r>
    </w:p>
    <w:p w14:paraId="7EE52C39">
      <w:pPr>
        <w:snapToGrid w:val="0"/>
        <w:spacing w:line="360" w:lineRule="auto"/>
        <w:ind w:firstLine="480"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七、工程概（预、结）算编审及工程实施阶段造价控制措施</w:t>
      </w:r>
    </w:p>
    <w:p w14:paraId="38DE734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1.概算编制：乙方</w:t>
      </w:r>
    </w:p>
    <w:p w14:paraId="6653C6EC">
      <w:pPr>
        <w:snapToGrid w:val="0"/>
        <w:spacing w:line="360" w:lineRule="auto"/>
        <w:ind w:firstLine="480" w:firstLineChars="200"/>
        <w:rPr>
          <w:rFonts w:hint="eastAsia" w:ascii="宋体" w:hAnsi="宋体" w:cs="宋体"/>
          <w:color w:val="auto"/>
          <w:kern w:val="0"/>
          <w:sz w:val="24"/>
          <w:highlight w:val="none"/>
        </w:rPr>
      </w:pPr>
      <w:bookmarkStart w:id="2" w:name="OLE_LINK1"/>
      <w:r>
        <w:rPr>
          <w:rFonts w:hint="eastAsia" w:ascii="宋体" w:hAnsi="宋体" w:cs="宋体"/>
          <w:color w:val="auto"/>
          <w:kern w:val="0"/>
          <w:sz w:val="24"/>
          <w:highlight w:val="none"/>
        </w:rPr>
        <w:t>概算建安费（施工图预算）编制采用的标准及定额</w:t>
      </w:r>
    </w:p>
    <w:bookmarkEnd w:id="2"/>
    <w:p w14:paraId="142AD458">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szCs w:val="24"/>
          <w:highlight w:val="none"/>
        </w:rPr>
        <w:t>国家标准《建设工程工程量清单计价规范》(</w:t>
      </w:r>
      <w:r>
        <w:rPr>
          <w:rFonts w:ascii="宋体" w:hAnsi="宋体" w:cs="宋体"/>
          <w:color w:val="auto"/>
          <w:sz w:val="24"/>
          <w:szCs w:val="24"/>
          <w:highlight w:val="none"/>
        </w:rPr>
        <w:t>GB/T 50500-2024</w:t>
      </w:r>
      <w:r>
        <w:rPr>
          <w:rFonts w:hint="eastAsia" w:ascii="宋体" w:hAnsi="宋体" w:cs="宋体"/>
          <w:color w:val="auto"/>
          <w:sz w:val="24"/>
          <w:szCs w:val="24"/>
          <w:highlight w:val="none"/>
        </w:rPr>
        <w:t>)和《广东省建设工程计价依据（2018）》（本计价依据包括《广东省房屋建筑与装饰工程综合定额（2018）》、《广东省市政工程综合定额（2018）》、《广东省通用安装工程综合定额（2018）》、《广东省园林绿化工程综合定额（2018）》、《广东省建设工程施工机具台班费用编制规则（2018）》、《电网技术改造工程概算定额（2020年版）第四册 电缆线路工程》,《电网技术改造工程预算定额（2020年版）第一册 建筑工程》,《电网技术改造工程概算定额（2020年版）第一册 建筑工程》,《电网技术改造工程预算定额（2020年版）第三册 架空线路工程》,《电网技术改造工程预算定额（2020年版）第四册 电缆线路工程》,《电网检修工程预算定额（2020年版）第三册 电缆线路工程》,《电网技术改造工程概算定额（2020年版）第六册 通信工程》,《电网拆除工程预算定额（2020年版）第四册 电缆线路工程》；</w:t>
      </w:r>
      <w:r>
        <w:rPr>
          <w:rFonts w:hint="eastAsia" w:ascii="宋体" w:hAnsi="宋体" w:cs="宋体"/>
          <w:color w:val="auto"/>
          <w:sz w:val="24"/>
          <w:szCs w:val="24"/>
          <w:highlight w:val="none"/>
          <w:lang w:bidi="ar"/>
        </w:rPr>
        <w:t>建设期间项目所在地对应时期《南方电网公司电网工程主要设备材料信息价》、工程造价管理部门颁布的计价文件。</w:t>
      </w:r>
    </w:p>
    <w:p w14:paraId="37C854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rPr>
        <w:t>工程实施阶段造价控制措施</w:t>
      </w:r>
    </w:p>
    <w:p w14:paraId="1B67DF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本工程严格实行限额勘察设计。乙方应按照工程招标限价控制初步勘察设计,以完成施工图审查后的施工图为基础编制工程预算,同时工程在保证达到使用功能的前提下,按投资限额控制勘察设计,严格执行预算、结算、决算的审批程序，合理确定和有效控制建设成本。</w:t>
      </w:r>
    </w:p>
    <w:p w14:paraId="7AEC9F7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2.2本工程严格控制勘察设计变更及现场签证。乙方应充分发挥勘察设计施工总承包的优势，于勘察设计前期工作阶段尽可能优化勘察设计方案，减少施工过程中的勘察设计变更及现场签证的发生。</w:t>
      </w:r>
    </w:p>
    <w:p w14:paraId="62AEBD25">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八、组成合同的文件</w:t>
      </w:r>
    </w:p>
    <w:p w14:paraId="649B2C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组成本合同的文件及解释顺序如下：</w:t>
      </w:r>
    </w:p>
    <w:p w14:paraId="300EBD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1.本合同履行期间甲、乙方签订的补充合同（协议）或修正文件；</w:t>
      </w:r>
    </w:p>
    <w:p w14:paraId="4081DB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2.协议书；</w:t>
      </w:r>
    </w:p>
    <w:p w14:paraId="50BBF5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3.本合同及附件；</w:t>
      </w:r>
    </w:p>
    <w:p w14:paraId="55BF7F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4.中标通知书；</w:t>
      </w:r>
    </w:p>
    <w:p w14:paraId="2E8329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5.招标文件及附件（包括补充、修改、澄清文件及答疑纪要等）；</w:t>
      </w:r>
    </w:p>
    <w:p w14:paraId="78E2AB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6.投标文件及附件；</w:t>
      </w:r>
    </w:p>
    <w:p w14:paraId="2AECD0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7.组成合同的其他文件；</w:t>
      </w:r>
    </w:p>
    <w:p w14:paraId="59F7F1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8.建设业主针对本工程建设管理的各项制度、规定；</w:t>
      </w:r>
    </w:p>
    <w:p w14:paraId="180316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9.国家、广东省、广州市、工程勘察设计、施工的有关标准、规范及有关技术文件</w:t>
      </w:r>
    </w:p>
    <w:p w14:paraId="49867AA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双方有关工程的洽商、变更等书面协议或文件视为本合同的组成部分。</w:t>
      </w:r>
    </w:p>
    <w:p w14:paraId="471BD2F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b/>
          <w:bCs/>
          <w:color w:val="auto"/>
          <w:sz w:val="24"/>
          <w:highlight w:val="none"/>
        </w:rPr>
        <w:t>九、乙方向甲方承诺按照合同约定进行勘察设计、施工、竣工并在质量保修期内承担工程质量保修责任。</w:t>
      </w:r>
    </w:p>
    <w:p w14:paraId="11797BCB">
      <w:pPr>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十、甲方向乙方承诺按照合同约定的期限和方式支付合同价款及其他应当支付的款项。</w:t>
      </w:r>
    </w:p>
    <w:bookmarkEnd w:id="1"/>
    <w:p w14:paraId="7C8ECC58">
      <w:pPr>
        <w:pStyle w:val="191"/>
        <w:ind w:right="0"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十一 、乙方为联合体的各成员方约定</w:t>
      </w:r>
    </w:p>
    <w:p w14:paraId="0D42559E">
      <w:pPr>
        <w:pStyle w:val="192"/>
        <w:spacing w:before="0" w:after="0" w:line="360" w:lineRule="auto"/>
        <w:ind w:left="0" w:right="0" w:firstLine="480" w:firstLineChars="200"/>
        <w:jc w:val="both"/>
        <w:rPr>
          <w:rFonts w:hint="eastAsia" w:ascii="宋体" w:hAnsi="宋体" w:cs="宋体"/>
          <w:color w:val="auto"/>
          <w:highlight w:val="none"/>
        </w:rPr>
      </w:pPr>
      <w:r>
        <w:rPr>
          <w:rFonts w:hint="eastAsia" w:ascii="宋体" w:hAnsi="宋体" w:cs="宋体"/>
          <w:bCs/>
          <w:color w:val="auto"/>
          <w:highlight w:val="none"/>
        </w:rPr>
        <w:t>1、</w:t>
      </w:r>
      <w:r>
        <w:rPr>
          <w:rFonts w:hint="eastAsia" w:ascii="宋体" w:hAnsi="宋体" w:cs="宋体"/>
          <w:color w:val="auto"/>
          <w:highlight w:val="none"/>
        </w:rPr>
        <w:t>如乙方为联合体的，各成员方应签署联合体合作协议，明确各自分工以及职责，联合体协议应在签署本合同前提供一份原件报甲方备案。</w:t>
      </w:r>
    </w:p>
    <w:p w14:paraId="44DB3570">
      <w:pPr>
        <w:pStyle w:val="192"/>
        <w:spacing w:before="0" w:after="0" w:line="360" w:lineRule="auto"/>
        <w:ind w:left="0" w:right="0" w:firstLine="480" w:firstLineChars="200"/>
        <w:jc w:val="both"/>
        <w:rPr>
          <w:rFonts w:hint="eastAsia" w:ascii="宋体" w:hAnsi="宋体" w:cs="宋体"/>
          <w:bCs/>
          <w:color w:val="auto"/>
          <w:highlight w:val="none"/>
        </w:rPr>
      </w:pPr>
      <w:r>
        <w:rPr>
          <w:rFonts w:hint="eastAsia" w:ascii="宋体" w:hAnsi="宋体" w:cs="宋体"/>
          <w:color w:val="auto"/>
          <w:highlight w:val="none"/>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主办方承担连带责任。</w:t>
      </w:r>
    </w:p>
    <w:p w14:paraId="289DD584">
      <w:pPr>
        <w:pStyle w:val="192"/>
        <w:spacing w:before="0" w:after="0" w:line="360" w:lineRule="auto"/>
        <w:ind w:left="0" w:right="0" w:firstLine="480" w:firstLineChars="200"/>
        <w:jc w:val="both"/>
        <w:rPr>
          <w:rFonts w:hint="eastAsia" w:ascii="宋体" w:hAnsi="宋体" w:cs="宋体"/>
          <w:color w:val="auto"/>
          <w:highlight w:val="none"/>
        </w:rPr>
      </w:pPr>
      <w:r>
        <w:rPr>
          <w:rFonts w:hint="eastAsia" w:ascii="宋体" w:hAnsi="宋体" w:cs="宋体"/>
          <w:color w:val="auto"/>
          <w:highlight w:val="none"/>
        </w:rPr>
        <w:t>3、如乙方为联合体的，联合体的主办方有义务协助及督促各成员方按合同约定的时间提交成果材料，否则每超过一日，联合体中的责任方需向甲方支付本合同总价千分之一的违约金（如存在联合体内责任不清，则所有责任方共同承担责任并按各责任成员所对应合同价的比例进行违约金额的分担）。</w:t>
      </w:r>
    </w:p>
    <w:p w14:paraId="4A14FBE6">
      <w:pPr>
        <w:pStyle w:val="192"/>
        <w:spacing w:before="0" w:after="0" w:line="360" w:lineRule="auto"/>
        <w:ind w:left="0" w:right="0" w:firstLine="480" w:firstLineChars="200"/>
        <w:jc w:val="both"/>
        <w:rPr>
          <w:rFonts w:hint="eastAsia" w:ascii="宋体" w:hAnsi="宋体" w:cs="宋体"/>
          <w:color w:val="auto"/>
          <w:highlight w:val="none"/>
        </w:rPr>
      </w:pPr>
      <w:r>
        <w:rPr>
          <w:rFonts w:hint="eastAsia" w:ascii="宋体" w:hAnsi="宋体" w:cs="宋体"/>
          <w:color w:val="auto"/>
          <w:highlight w:val="none"/>
        </w:rPr>
        <w:t>4、如乙方为联合体的，联合体的成员方有义务按合同约定履行职责并服从主办方为履行合同而进行的管理。</w:t>
      </w:r>
    </w:p>
    <w:p w14:paraId="22108351">
      <w:pPr>
        <w:pStyle w:val="193"/>
        <w:snapToGrid w:val="0"/>
        <w:spacing w:line="360" w:lineRule="auto"/>
        <w:ind w:firstLine="480" w:firstLineChars="200"/>
        <w:rPr>
          <w:rFonts w:ascii="宋体" w:hAnsi="宋体" w:cs="宋体"/>
          <w:color w:val="auto"/>
          <w:sz w:val="24"/>
          <w:highlight w:val="none"/>
        </w:rPr>
      </w:pPr>
      <w:r>
        <w:rPr>
          <w:rFonts w:ascii="宋体" w:hAnsi="宋体" w:cs="宋体"/>
          <w:bCs/>
          <w:color w:val="auto"/>
          <w:sz w:val="24"/>
          <w:highlight w:val="none"/>
        </w:rPr>
        <w:t>5、如乙方为联合体的，</w:t>
      </w:r>
      <w:r>
        <w:rPr>
          <w:rFonts w:ascii="宋体" w:hAnsi="宋体" w:cs="宋体"/>
          <w:color w:val="auto"/>
          <w:sz w:val="24"/>
          <w:highlight w:val="none"/>
        </w:rPr>
        <w:t>可由联合体各方分别收取相应款项，但在合同实施过程中如发生联合体成员不能履行合同等违约行为的，甲方有权要求联合体任一成员单位履行合同全部义务并将款项直接支付给履行合同义务的联合体成员。</w:t>
      </w:r>
    </w:p>
    <w:p w14:paraId="6E8A8F51">
      <w:pPr>
        <w:pStyle w:val="189"/>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十二、工程支付方式及预付款</w:t>
      </w:r>
    </w:p>
    <w:p w14:paraId="54A90EE9">
      <w:pPr>
        <w:pStyle w:val="189"/>
        <w:spacing w:line="360" w:lineRule="auto"/>
        <w:ind w:firstLine="480"/>
        <w:rPr>
          <w:rFonts w:hint="eastAsia" w:ascii="宋体" w:hAnsi="宋体" w:cs="宋体"/>
          <w:bCs/>
          <w:color w:val="auto"/>
          <w:sz w:val="24"/>
          <w:szCs w:val="20"/>
          <w:highlight w:val="none"/>
        </w:rPr>
      </w:pPr>
      <w:r>
        <w:rPr>
          <w:rFonts w:hint="eastAsia" w:ascii="宋体" w:hAnsi="宋体" w:cs="宋体"/>
          <w:bCs/>
          <w:color w:val="auto"/>
          <w:sz w:val="24"/>
          <w:szCs w:val="20"/>
          <w:highlight w:val="none"/>
        </w:rPr>
        <w:t>1、工程款项经甲方审核后报送</w:t>
      </w:r>
      <w:r>
        <w:rPr>
          <w:rFonts w:hint="eastAsia" w:ascii="宋体" w:hAnsi="宋体" w:cs="宋体"/>
          <w:color w:val="auto"/>
          <w:kern w:val="0"/>
          <w:sz w:val="24"/>
          <w:highlight w:val="none"/>
          <w:u w:val="single"/>
        </w:rPr>
        <w:t>建设业主</w:t>
      </w:r>
      <w:r>
        <w:rPr>
          <w:rFonts w:hint="eastAsia" w:ascii="宋体" w:hAnsi="宋体" w:cs="宋体"/>
          <w:bCs/>
          <w:color w:val="auto"/>
          <w:sz w:val="24"/>
          <w:szCs w:val="20"/>
          <w:highlight w:val="none"/>
        </w:rPr>
        <w:t>，由</w:t>
      </w:r>
      <w:r>
        <w:rPr>
          <w:rFonts w:hint="eastAsia" w:ascii="宋体" w:hAnsi="宋体" w:cs="宋体"/>
          <w:color w:val="auto"/>
          <w:kern w:val="0"/>
          <w:sz w:val="24"/>
          <w:highlight w:val="none"/>
          <w:u w:val="single"/>
        </w:rPr>
        <w:t>建设业主</w:t>
      </w:r>
      <w:r>
        <w:rPr>
          <w:rFonts w:hint="eastAsia" w:ascii="宋体" w:hAnsi="宋体" w:cs="宋体"/>
          <w:bCs/>
          <w:color w:val="auto"/>
          <w:sz w:val="24"/>
          <w:szCs w:val="20"/>
          <w:highlight w:val="none"/>
        </w:rPr>
        <w:t>按照规定程序进行支付。</w:t>
      </w:r>
    </w:p>
    <w:p w14:paraId="74ADDD7A">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2、工程预付款及进度款支付：</w:t>
      </w:r>
      <w:r>
        <w:rPr>
          <w:rFonts w:hint="eastAsia" w:ascii="宋体" w:hAnsi="宋体" w:cs="宋体"/>
          <w:color w:val="auto"/>
          <w:sz w:val="24"/>
          <w:szCs w:val="24"/>
          <w:highlight w:val="none"/>
        </w:rPr>
        <w:t>本合同签订后，乙方根据建设需要，经甲方及建设业主审核后，支付30%预付款，并根据工程进度按合同金额的</w:t>
      </w:r>
      <w:r>
        <w:rPr>
          <w:rFonts w:hint="eastAsia" w:ascii="宋体" w:hAnsi="宋体" w:cs="宋体"/>
          <w:color w:val="auto"/>
          <w:sz w:val="24"/>
          <w:szCs w:val="24"/>
          <w:highlight w:val="none"/>
        </w:rPr>
        <w:t>85%</w:t>
      </w:r>
      <w:r>
        <w:rPr>
          <w:rFonts w:hint="eastAsia" w:ascii="宋体" w:hAnsi="宋体" w:cs="宋体"/>
          <w:color w:val="auto"/>
          <w:sz w:val="24"/>
          <w:szCs w:val="24"/>
          <w:highlight w:val="none"/>
        </w:rPr>
        <w:t>控制支付。</w:t>
      </w:r>
    </w:p>
    <w:p w14:paraId="4D16938C">
      <w:pPr>
        <w:pStyle w:val="189"/>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十三、工程担保</w:t>
      </w:r>
    </w:p>
    <w:p w14:paraId="76273002">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1、本合同履约保证金为合同暂定建安工程费的10%，即人民币</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元，乙方须在本合同生效之日起30个工作日内以银行转账或银行保函形式缴纳。</w:t>
      </w:r>
    </w:p>
    <w:p w14:paraId="5869A7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甲方履约保证金收款账户信息如下：</w:t>
      </w:r>
    </w:p>
    <w:p w14:paraId="685A0C9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color w:val="auto"/>
          <w:sz w:val="24"/>
          <w:highlight w:val="none"/>
          <w:u w:val="single"/>
        </w:rPr>
        <w:t xml:space="preserve">                   </w:t>
      </w:r>
    </w:p>
    <w:p w14:paraId="61A31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p>
    <w:p w14:paraId="49CAA7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账号：</w:t>
      </w:r>
      <w:r>
        <w:rPr>
          <w:rFonts w:hint="eastAsia" w:ascii="宋体" w:hAnsi="宋体" w:cs="宋体"/>
          <w:color w:val="auto"/>
          <w:sz w:val="24"/>
          <w:highlight w:val="none"/>
          <w:u w:val="single"/>
        </w:rPr>
        <w:t xml:space="preserve">                     </w:t>
      </w:r>
    </w:p>
    <w:p w14:paraId="7E7788B7">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期限：从提供履约担保之日起至乙方履行完本合同全部义务时止。</w:t>
      </w:r>
    </w:p>
    <w:p w14:paraId="4AC4E35E">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如乙方选择银行履约保函，要求如下：期限为本合同约定的暂定工期加三个月，乙方需保证保函在合同履行期间的有效性；如工程延期，乙方应在保函有效期届满前30天，向甲方提交同样格式且更新日期后的保函，以替代原保函。</w:t>
      </w:r>
    </w:p>
    <w:p w14:paraId="7E5375F8">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3、工程实施过程中，如因工程实际特殊需要，需改变履约保证金提交方式，需经甲方审批同意后方可执行。</w:t>
      </w:r>
    </w:p>
    <w:p w14:paraId="62E1AFB7">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4、遇到以下情况，甲方有权直接要求提供上述保函的单位支付其担保的全部或部分金额，或甲方有权直接动用履约保证金（若以现金方式提交）：</w:t>
      </w:r>
    </w:p>
    <w:p w14:paraId="071EECCE">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4.1乙方违反本合同约定，逾期提交新的履约保函或者提交的新保函不符合本合同约定的；</w:t>
      </w:r>
    </w:p>
    <w:p w14:paraId="486F4ED6">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4.2乙方未按合同约定履行合同义务或违背合同规定的责任，需向甲方缴纳违约金、赔偿金及其他费用的；</w:t>
      </w:r>
    </w:p>
    <w:p w14:paraId="713043D4">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4.3因乙方违反本合同约定或相关规定，给甲方造成损失或导致甲方被第三方索赔的。</w:t>
      </w:r>
    </w:p>
    <w:p w14:paraId="63A6FEEB">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4.4若甲方动用履约保证金，乙方须在收到甲方书面通知后30天内按甲方要求补足履约保证金（若以现金方式提交）或重新提交足额的符合本合同要求的履约保函；逾期未补足或未重新提交的，每逾期一天，乙方须按被动用金额的0.5%向甲方支付违约金。</w:t>
      </w:r>
    </w:p>
    <w:p w14:paraId="188E7496">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highlight w:val="none"/>
        </w:rPr>
        <w:t xml:space="preserve"> </w:t>
      </w:r>
      <w:r>
        <w:rPr>
          <w:rFonts w:hint="eastAsia" w:ascii="宋体" w:hAnsi="宋体" w:cs="宋体"/>
          <w:color w:val="auto"/>
          <w:sz w:val="24"/>
          <w:highlight w:val="none"/>
        </w:rPr>
        <w:t>如乙方无违约行为或扣除乙方应支付的违约金后履约保证金尚有剩余的，在本项目完成后，剩余的履约保证金由乙方提出申请，甲方收到乙方申请之日起15个工作日内无息退回履约保证金。</w:t>
      </w:r>
    </w:p>
    <w:p w14:paraId="2C1B5198">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乙方（主）收款银行账户信息：</w:t>
      </w:r>
    </w:p>
    <w:p w14:paraId="2F1609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开户名： </w:t>
      </w:r>
    </w:p>
    <w:p w14:paraId="7B73EF23">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p w14:paraId="29AA046F">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账号：  </w:t>
      </w:r>
    </w:p>
    <w:p w14:paraId="7A78CD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地址： </w:t>
      </w:r>
    </w:p>
    <w:p w14:paraId="076C88F1">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电话：</w:t>
      </w:r>
    </w:p>
    <w:p w14:paraId="69CE32BB">
      <w:pPr>
        <w:tabs>
          <w:tab w:val="left" w:pos="3640"/>
          <w:tab w:val="left" w:pos="6040"/>
          <w:tab w:val="left" w:pos="7960"/>
        </w:tabs>
        <w:autoSpaceDE w:val="0"/>
        <w:autoSpaceDN w:val="0"/>
        <w:adjustRightInd w:val="0"/>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十四、合同</w:t>
      </w:r>
      <w:r>
        <w:rPr>
          <w:rFonts w:hint="eastAsia" w:ascii="宋体" w:hAnsi="宋体" w:cs="宋体"/>
          <w:b/>
          <w:bCs/>
          <w:color w:val="auto"/>
          <w:kern w:val="0"/>
          <w:sz w:val="24"/>
          <w:highlight w:val="none"/>
        </w:rPr>
        <w:t>正副本及效力</w:t>
      </w:r>
    </w:p>
    <w:p w14:paraId="267D1E14">
      <w:pPr>
        <w:tabs>
          <w:tab w:val="left" w:pos="3640"/>
          <w:tab w:val="left" w:pos="6040"/>
          <w:tab w:val="left" w:pos="7960"/>
        </w:tabs>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1、合同的份数：</w:t>
      </w:r>
    </w:p>
    <w:p w14:paraId="28F7BF8E">
      <w:pPr>
        <w:tabs>
          <w:tab w:val="left" w:pos="3640"/>
          <w:tab w:val="left" w:pos="6040"/>
          <w:tab w:val="left" w:pos="7960"/>
        </w:tabs>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正本</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rPr>
        <w:t>份，副本</w:t>
      </w:r>
      <w:r>
        <w:rPr>
          <w:rFonts w:hint="eastAsia" w:ascii="宋体" w:hAnsi="宋体" w:cs="宋体"/>
          <w:color w:val="auto"/>
          <w:kern w:val="0"/>
          <w:sz w:val="24"/>
          <w:highlight w:val="none"/>
          <w:u w:val="single"/>
        </w:rPr>
        <w:t>12</w:t>
      </w:r>
      <w:r>
        <w:rPr>
          <w:rFonts w:hint="eastAsia" w:ascii="宋体" w:hAnsi="宋体" w:cs="宋体"/>
          <w:color w:val="auto"/>
          <w:kern w:val="0"/>
          <w:sz w:val="24"/>
          <w:highlight w:val="none"/>
        </w:rPr>
        <w:t>份。</w:t>
      </w:r>
    </w:p>
    <w:p w14:paraId="437C7FB4">
      <w:pPr>
        <w:tabs>
          <w:tab w:val="left" w:pos="3640"/>
          <w:tab w:val="left" w:pos="6040"/>
          <w:tab w:val="left" w:pos="7960"/>
        </w:tabs>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其中：甲方正本</w:t>
      </w:r>
      <w:r>
        <w:rPr>
          <w:rFonts w:hint="eastAsia" w:ascii="宋体" w:hAnsi="宋体" w:cs="宋体"/>
          <w:color w:val="auto"/>
          <w:kern w:val="0"/>
          <w:sz w:val="24"/>
          <w:highlight w:val="none"/>
          <w:u w:val="single"/>
        </w:rPr>
        <w:t>1</w:t>
      </w:r>
      <w:r>
        <w:rPr>
          <w:rFonts w:hint="eastAsia" w:ascii="宋体" w:hAnsi="宋体" w:cs="宋体"/>
          <w:color w:val="auto"/>
          <w:kern w:val="0"/>
          <w:sz w:val="24"/>
          <w:highlight w:val="none"/>
        </w:rPr>
        <w:t>份，副本</w:t>
      </w:r>
      <w:r>
        <w:rPr>
          <w:rFonts w:hint="eastAsia" w:ascii="宋体" w:hAnsi="宋体" w:cs="宋体"/>
          <w:color w:val="auto"/>
          <w:kern w:val="0"/>
          <w:sz w:val="24"/>
          <w:highlight w:val="none"/>
          <w:u w:val="single"/>
        </w:rPr>
        <w:t xml:space="preserve">4 </w:t>
      </w:r>
      <w:r>
        <w:rPr>
          <w:rFonts w:hint="eastAsia" w:ascii="宋体" w:hAnsi="宋体" w:cs="宋体"/>
          <w:color w:val="auto"/>
          <w:kern w:val="0"/>
          <w:sz w:val="24"/>
          <w:highlight w:val="none"/>
        </w:rPr>
        <w:t>份。</w:t>
      </w:r>
    </w:p>
    <w:p w14:paraId="1A3C036B">
      <w:pPr>
        <w:pStyle w:val="189"/>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乙方（主）正本</w:t>
      </w:r>
      <w:r>
        <w:rPr>
          <w:rFonts w:hint="eastAsia" w:ascii="宋体" w:hAnsi="宋体" w:cs="宋体"/>
          <w:color w:val="auto"/>
          <w:kern w:val="0"/>
          <w:sz w:val="24"/>
          <w:highlight w:val="none"/>
          <w:u w:val="single"/>
        </w:rPr>
        <w:t xml:space="preserve">1 </w:t>
      </w:r>
      <w:r>
        <w:rPr>
          <w:rFonts w:hint="eastAsia" w:ascii="宋体" w:hAnsi="宋体" w:cs="宋体"/>
          <w:color w:val="auto"/>
          <w:kern w:val="0"/>
          <w:sz w:val="24"/>
          <w:highlight w:val="none"/>
        </w:rPr>
        <w:t>份，副本</w:t>
      </w:r>
      <w:r>
        <w:rPr>
          <w:rFonts w:hint="eastAsia" w:ascii="宋体" w:hAnsi="宋体" w:cs="宋体"/>
          <w:color w:val="auto"/>
          <w:kern w:val="0"/>
          <w:sz w:val="24"/>
          <w:highlight w:val="none"/>
          <w:u w:val="single"/>
        </w:rPr>
        <w:t>4</w:t>
      </w:r>
      <w:r>
        <w:rPr>
          <w:rFonts w:hint="eastAsia" w:ascii="宋体" w:hAnsi="宋体" w:cs="宋体"/>
          <w:color w:val="auto"/>
          <w:kern w:val="0"/>
          <w:sz w:val="24"/>
          <w:highlight w:val="none"/>
        </w:rPr>
        <w:t>份。</w:t>
      </w:r>
    </w:p>
    <w:p w14:paraId="0B5BF059">
      <w:pPr>
        <w:pStyle w:val="189"/>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乙方（成）正本</w:t>
      </w:r>
      <w:r>
        <w:rPr>
          <w:rFonts w:hint="eastAsia" w:ascii="宋体" w:hAnsi="宋体" w:cs="宋体"/>
          <w:color w:val="auto"/>
          <w:kern w:val="0"/>
          <w:sz w:val="24"/>
          <w:highlight w:val="none"/>
          <w:u w:val="single"/>
        </w:rPr>
        <w:t>1</w:t>
      </w:r>
      <w:r>
        <w:rPr>
          <w:rFonts w:hint="eastAsia" w:ascii="宋体" w:hAnsi="宋体" w:cs="宋体"/>
          <w:color w:val="auto"/>
          <w:kern w:val="0"/>
          <w:sz w:val="24"/>
          <w:highlight w:val="none"/>
        </w:rPr>
        <w:t>份，副本</w:t>
      </w:r>
      <w:r>
        <w:rPr>
          <w:rFonts w:hint="eastAsia" w:ascii="宋体" w:hAnsi="宋体" w:cs="宋体"/>
          <w:color w:val="auto"/>
          <w:kern w:val="0"/>
          <w:sz w:val="24"/>
          <w:highlight w:val="none"/>
          <w:u w:val="single"/>
        </w:rPr>
        <w:t>4</w:t>
      </w:r>
      <w:r>
        <w:rPr>
          <w:rFonts w:hint="eastAsia" w:ascii="宋体" w:hAnsi="宋体" w:cs="宋体"/>
          <w:color w:val="auto"/>
          <w:kern w:val="0"/>
          <w:sz w:val="24"/>
          <w:highlight w:val="none"/>
        </w:rPr>
        <w:t>份。</w:t>
      </w:r>
    </w:p>
    <w:p w14:paraId="61203CF4">
      <w:pPr>
        <w:pStyle w:val="189"/>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2、本合同正、副本具同等法律效力，当正、副本不一致时，以正本为准。</w:t>
      </w:r>
    </w:p>
    <w:p w14:paraId="2CCF4671">
      <w:pPr>
        <w:pStyle w:val="189"/>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十五、其他事项</w:t>
      </w:r>
    </w:p>
    <w:p w14:paraId="26CE22D0">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1、本合同未尽事宜，经双方协商一致，可签订补充协议，并与本合同具有同等效力。</w:t>
      </w:r>
    </w:p>
    <w:p w14:paraId="4D1A3D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双方在本合同履行过程中发出或者提供的所有通知、文件、文书、资料等，均以本合同所列明的双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14:paraId="02A91F32">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3、本合同生效后，合同当事人认为必要时，可到工商行政管理部门鉴证，鉴证费用由乙方负责。双方履行完合同规定的义务后，本合同即终止。</w:t>
      </w:r>
    </w:p>
    <w:p w14:paraId="2D1E77B7">
      <w:pPr>
        <w:pStyle w:val="189"/>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4.本合同附件为：1.廉政合同；2.联合体协议书3.《中标通知书》；4.履约保函。附件与本合同具有同等法律效力,除本合同另有约定外，附件与合同正文约定不一致的，以合同正文为准。</w:t>
      </w:r>
    </w:p>
    <w:p w14:paraId="04E363F4">
      <w:pPr>
        <w:pStyle w:val="194"/>
        <w:spacing w:line="360" w:lineRule="auto"/>
        <w:ind w:firstLine="480" w:firstLineChars="200"/>
        <w:jc w:val="both"/>
        <w:outlineLvl w:val="9"/>
        <w:rPr>
          <w:rFonts w:hint="eastAsia" w:ascii="宋体" w:hAnsi="宋体" w:eastAsia="宋体" w:cs="宋体"/>
          <w:b/>
          <w:bCs w:val="0"/>
          <w:color w:val="auto"/>
          <w:position w:val="0"/>
          <w:szCs w:val="24"/>
          <w:highlight w:val="none"/>
        </w:rPr>
      </w:pPr>
      <w:bookmarkStart w:id="3" w:name="_Toc287627923"/>
      <w:r>
        <w:rPr>
          <w:rFonts w:hint="eastAsia" w:ascii="宋体" w:hAnsi="宋体" w:eastAsia="宋体" w:cs="宋体"/>
          <w:b/>
          <w:bCs w:val="0"/>
          <w:color w:val="auto"/>
          <w:position w:val="0"/>
          <w:szCs w:val="24"/>
          <w:highlight w:val="none"/>
        </w:rPr>
        <w:t>十六、合同生效</w:t>
      </w:r>
      <w:bookmarkEnd w:id="3"/>
    </w:p>
    <w:p w14:paraId="227E4229">
      <w:pPr>
        <w:tabs>
          <w:tab w:val="left" w:pos="3740"/>
          <w:tab w:val="left" w:pos="5300"/>
          <w:tab w:val="left" w:pos="6860"/>
        </w:tabs>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订立合同时间：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60BCF369">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订立合同地点：</w:t>
      </w:r>
      <w:r>
        <w:rPr>
          <w:rFonts w:hint="eastAsia" w:ascii="宋体" w:hAnsi="宋体" w:cs="宋体"/>
          <w:color w:val="auto"/>
          <w:kern w:val="0"/>
          <w:sz w:val="24"/>
          <w:highlight w:val="none"/>
          <w:u w:val="single"/>
        </w:rPr>
        <w:t xml:space="preserve">广州市       </w:t>
      </w:r>
    </w:p>
    <w:p w14:paraId="4BD2FF27">
      <w:pPr>
        <w:tabs>
          <w:tab w:val="left" w:pos="8900"/>
          <w:tab w:val="left" w:pos="9960"/>
        </w:tabs>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合同双方当事人约定本合同于</w:t>
      </w:r>
      <w:r>
        <w:rPr>
          <w:rFonts w:hint="eastAsia" w:ascii="宋体" w:hAnsi="宋体" w:cs="宋体"/>
          <w:color w:val="auto"/>
          <w:kern w:val="0"/>
          <w:sz w:val="24"/>
          <w:highlight w:val="none"/>
          <w:u w:val="single"/>
        </w:rPr>
        <w:t>双方签字盖章之日起</w:t>
      </w:r>
      <w:r>
        <w:rPr>
          <w:rFonts w:hint="eastAsia" w:ascii="宋体" w:hAnsi="宋体" w:cs="宋体"/>
          <w:color w:val="auto"/>
          <w:kern w:val="0"/>
          <w:sz w:val="24"/>
          <w:highlight w:val="none"/>
        </w:rPr>
        <w:t xml:space="preserve">生效。            </w:t>
      </w:r>
    </w:p>
    <w:p w14:paraId="7893463E">
      <w:pPr>
        <w:pStyle w:val="189"/>
        <w:spacing w:line="360" w:lineRule="auto"/>
        <w:ind w:firstLine="0" w:firstLineChars="0"/>
        <w:rPr>
          <w:rFonts w:hint="eastAsia" w:ascii="宋体" w:hAnsi="宋体" w:cs="宋体"/>
          <w:color w:val="auto"/>
          <w:kern w:val="0"/>
          <w:sz w:val="24"/>
          <w:highlight w:val="none"/>
        </w:rPr>
      </w:pPr>
    </w:p>
    <w:p w14:paraId="66C15868">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br w:type="page"/>
      </w:r>
    </w:p>
    <w:p w14:paraId="44FAB8E0">
      <w:pPr>
        <w:tabs>
          <w:tab w:val="left" w:pos="8900"/>
          <w:tab w:val="left" w:pos="9960"/>
        </w:tabs>
        <w:autoSpaceDE w:val="0"/>
        <w:autoSpaceDN w:val="0"/>
        <w:adjustRightInd w:val="0"/>
        <w:spacing w:line="360" w:lineRule="auto"/>
        <w:ind w:right="66"/>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（以下为签署页，无正文）</w:t>
      </w:r>
    </w:p>
    <w:p w14:paraId="6A669C90">
      <w:pPr>
        <w:rPr>
          <w:rFonts w:hint="eastAsia" w:ascii="宋体" w:hAnsi="宋体" w:cs="宋体"/>
          <w:color w:val="auto"/>
          <w:sz w:val="24"/>
          <w:highlight w:val="none"/>
        </w:rPr>
      </w:pPr>
    </w:p>
    <w:p w14:paraId="7D91318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（盖章）                    　           </w:t>
      </w:r>
    </w:p>
    <w:p w14:paraId="4625F3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8FAEE8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p>
    <w:p w14:paraId="0D9DB55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签约代表：                             </w:t>
      </w:r>
    </w:p>
    <w:p w14:paraId="7643A871">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    话：</w:t>
      </w:r>
    </w:p>
    <w:p w14:paraId="1CA1FA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p w14:paraId="0D0D24FC">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    号：</w:t>
      </w:r>
    </w:p>
    <w:p w14:paraId="4C4DB0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B6CCFE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乙方（主）：                            乙方（成）：  </w:t>
      </w:r>
    </w:p>
    <w:p w14:paraId="78704F57">
      <w:pPr>
        <w:spacing w:line="360" w:lineRule="auto"/>
        <w:rPr>
          <w:rFonts w:hint="eastAsia" w:ascii="宋体" w:hAnsi="宋体" w:cs="宋体"/>
          <w:color w:val="auto"/>
          <w:sz w:val="24"/>
          <w:highlight w:val="none"/>
        </w:rPr>
      </w:pPr>
      <w:r>
        <w:rPr>
          <w:rFonts w:hint="eastAsia" w:ascii="宋体" w:hAnsi="宋体" w:cs="宋体"/>
          <w:color w:val="auto"/>
          <w:sz w:val="24"/>
          <w:highlight w:val="none"/>
        </w:rPr>
        <w:t>（盖章）                              （盖章）</w:t>
      </w:r>
    </w:p>
    <w:p w14:paraId="07A0C3E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通讯地址：                             通讯地址：                                     </w:t>
      </w:r>
    </w:p>
    <w:p w14:paraId="3D8936B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　　　　　　　　　　　     法定代表人：</w:t>
      </w:r>
    </w:p>
    <w:p w14:paraId="5405A9C1">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签约代表：　　　　　　　　　　　　　　 签约代表：</w:t>
      </w:r>
    </w:p>
    <w:p w14:paraId="784E3AAF">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    话：                             电    话：/</w:t>
      </w:r>
    </w:p>
    <w:p w14:paraId="6C2E49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46B9477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账    号：                             账    号：  </w:t>
      </w:r>
    </w:p>
    <w:p w14:paraId="4CF87D05">
      <w:pPr>
        <w:spacing w:line="360" w:lineRule="auto"/>
        <w:rPr>
          <w:rFonts w:hint="eastAsia" w:ascii="宋体" w:hAnsi="宋体" w:cs="宋体"/>
          <w:color w:val="auto"/>
          <w:sz w:val="24"/>
          <w:highlight w:val="none"/>
        </w:rPr>
      </w:pPr>
    </w:p>
    <w:p w14:paraId="2253BFA5">
      <w:pPr>
        <w:pStyle w:val="2"/>
        <w:rPr>
          <w:rFonts w:hint="eastAsia"/>
          <w:color w:val="auto"/>
          <w:highlight w:val="none"/>
        </w:rPr>
      </w:pPr>
    </w:p>
    <w:p w14:paraId="538FD5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乙方（成）：  </w:t>
      </w:r>
    </w:p>
    <w:p w14:paraId="4FF1103C">
      <w:pPr>
        <w:spacing w:line="360" w:lineRule="auto"/>
        <w:rPr>
          <w:rFonts w:hint="eastAsia" w:ascii="宋体" w:hAnsi="宋体" w:cs="宋体"/>
          <w:color w:val="auto"/>
          <w:sz w:val="24"/>
          <w:highlight w:val="none"/>
        </w:rPr>
      </w:pPr>
      <w:r>
        <w:rPr>
          <w:rFonts w:hint="eastAsia" w:ascii="宋体" w:hAnsi="宋体" w:cs="宋体"/>
          <w:color w:val="auto"/>
          <w:sz w:val="24"/>
          <w:highlight w:val="none"/>
        </w:rPr>
        <w:t>（盖章）</w:t>
      </w:r>
    </w:p>
    <w:p w14:paraId="6E08AA2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通讯地址：                                                          </w:t>
      </w:r>
    </w:p>
    <w:p w14:paraId="5D75A5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p>
    <w:p w14:paraId="055A93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签约代表：　　　　　　　　　　　　　　</w:t>
      </w:r>
    </w:p>
    <w:p w14:paraId="7ECB80A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电    话：                         </w:t>
      </w:r>
    </w:p>
    <w:p w14:paraId="60145A5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p w14:paraId="5D6A56C6">
      <w:pPr>
        <w:pStyle w:val="2"/>
        <w:rPr>
          <w:rFonts w:hint="eastAsia"/>
          <w:color w:val="auto"/>
          <w:highlight w:val="none"/>
        </w:rPr>
      </w:pPr>
      <w:r>
        <w:rPr>
          <w:rFonts w:hint="eastAsia" w:ascii="宋体" w:hAnsi="宋体" w:cs="宋体"/>
          <w:color w:val="auto"/>
          <w:sz w:val="24"/>
          <w:highlight w:val="none"/>
        </w:rPr>
        <w:t xml:space="preserve">账    号：                           </w:t>
      </w:r>
    </w:p>
    <w:p w14:paraId="73E11742">
      <w:pPr>
        <w:pStyle w:val="190"/>
        <w:keepLines w:val="0"/>
        <w:pageBreakBefore/>
        <w:spacing w:after="120" w:line="360" w:lineRule="auto"/>
        <w:rPr>
          <w:rFonts w:hint="eastAsia" w:ascii="宋体" w:hAnsi="宋体" w:eastAsia="宋体" w:cs="宋体"/>
          <w:color w:val="auto"/>
          <w:highlight w:val="none"/>
        </w:rPr>
      </w:pPr>
      <w:r>
        <w:rPr>
          <w:rFonts w:hint="eastAsia" w:ascii="宋体" w:hAnsi="宋体" w:eastAsia="宋体" w:cs="宋体"/>
          <w:color w:val="auto"/>
          <w:highlight w:val="none"/>
        </w:rPr>
        <w:t>第二篇</w:t>
      </w:r>
      <w:r>
        <w:rPr>
          <w:rFonts w:hint="eastAsia" w:ascii="宋体" w:hAnsi="宋体" w:eastAsia="宋体" w:cs="宋体"/>
          <w:color w:val="auto"/>
          <w:highlight w:val="none"/>
        </w:rPr>
        <w:tab/>
      </w:r>
      <w:r>
        <w:rPr>
          <w:rFonts w:hint="eastAsia" w:ascii="宋体" w:hAnsi="宋体" w:eastAsia="宋体" w:cs="宋体"/>
          <w:color w:val="auto"/>
          <w:highlight w:val="none"/>
        </w:rPr>
        <w:t>工程勘察设计合同条款</w:t>
      </w:r>
    </w:p>
    <w:p w14:paraId="1D463524">
      <w:pPr>
        <w:spacing w:line="360" w:lineRule="auto"/>
        <w:ind w:firstLine="480" w:firstLineChars="200"/>
        <w:rPr>
          <w:rFonts w:hint="eastAsia" w:ascii="宋体" w:hAnsi="宋体" w:cs="宋体"/>
          <w:color w:val="auto"/>
          <w:sz w:val="24"/>
          <w:highlight w:val="none"/>
        </w:rPr>
      </w:pPr>
      <w:r>
        <w:rPr>
          <w:rFonts w:hint="eastAsia" w:ascii="宋体" w:hAnsi="宋体" w:cs="宋体"/>
          <w:b/>
          <w:color w:val="auto"/>
          <w:sz w:val="24"/>
          <w:highlight w:val="none"/>
        </w:rPr>
        <w:t>第一条　签订依据</w:t>
      </w:r>
    </w:p>
    <w:p w14:paraId="29716A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 《中华人民共和国民法典》、《中华人民共和国建筑法》、《建设工程质量管理条例》。</w:t>
      </w:r>
    </w:p>
    <w:p w14:paraId="7F1A90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 国家及地方有关建设工程勘察设计管理法规和规章。</w:t>
      </w:r>
    </w:p>
    <w:p w14:paraId="3926D6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 建设工程批准文件。</w:t>
      </w:r>
    </w:p>
    <w:p w14:paraId="21F4FA16">
      <w:pPr>
        <w:spacing w:line="360" w:lineRule="auto"/>
        <w:ind w:firstLine="480" w:firstLineChars="200"/>
        <w:rPr>
          <w:rFonts w:hint="eastAsia" w:ascii="宋体" w:hAnsi="宋体" w:cs="宋体"/>
          <w:color w:val="auto"/>
          <w:sz w:val="24"/>
          <w:highlight w:val="none"/>
        </w:rPr>
      </w:pPr>
      <w:r>
        <w:rPr>
          <w:rFonts w:hint="eastAsia" w:ascii="宋体" w:hAnsi="宋体" w:cs="宋体"/>
          <w:b/>
          <w:color w:val="auto"/>
          <w:sz w:val="24"/>
          <w:highlight w:val="none"/>
        </w:rPr>
        <w:t>第二条　勘察设计依据</w:t>
      </w:r>
    </w:p>
    <w:p w14:paraId="4E2AEC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甲方给乙方的委托书或勘察设计中标文件。</w:t>
      </w:r>
    </w:p>
    <w:p w14:paraId="5FBAAB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甲方提交的基础资料及工程技术要求。</w:t>
      </w:r>
    </w:p>
    <w:p w14:paraId="5AEED1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国家现行的有关技术规范及标准要求。</w:t>
      </w:r>
    </w:p>
    <w:p w14:paraId="36958BBD">
      <w:pPr>
        <w:spacing w:line="360" w:lineRule="auto"/>
        <w:ind w:firstLine="480" w:firstLineChars="200"/>
        <w:rPr>
          <w:rFonts w:hint="eastAsia" w:ascii="宋体" w:hAnsi="宋体" w:cs="宋体"/>
          <w:color w:val="auto"/>
          <w:sz w:val="24"/>
          <w:highlight w:val="none"/>
        </w:rPr>
      </w:pPr>
      <w:r>
        <w:rPr>
          <w:rFonts w:hint="eastAsia" w:ascii="宋体" w:hAnsi="宋体" w:cs="宋体"/>
          <w:b/>
          <w:bCs/>
          <w:color w:val="auto"/>
          <w:sz w:val="24"/>
          <w:highlight w:val="none"/>
        </w:rPr>
        <w:t>第三条</w:t>
      </w:r>
      <w:r>
        <w:rPr>
          <w:rFonts w:hint="eastAsia" w:ascii="宋体" w:hAnsi="宋体" w:cs="宋体"/>
          <w:color w:val="auto"/>
          <w:sz w:val="24"/>
          <w:highlight w:val="none"/>
        </w:rPr>
        <w:t>　</w:t>
      </w:r>
      <w:r>
        <w:rPr>
          <w:rFonts w:hint="eastAsia" w:ascii="宋体" w:hAnsi="宋体" w:cs="宋体"/>
          <w:b/>
          <w:color w:val="auto"/>
          <w:sz w:val="24"/>
          <w:highlight w:val="none"/>
        </w:rPr>
        <w:t>项目概况、勘察设计工作范围及勘察设计内容</w:t>
      </w:r>
    </w:p>
    <w:p w14:paraId="0BCBD4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3.1项目概况：</w:t>
      </w:r>
      <w:r>
        <w:rPr>
          <w:rFonts w:hint="eastAsia" w:ascii="宋体" w:hAnsi="宋体" w:cs="宋体"/>
          <w:color w:val="auto"/>
          <w:sz w:val="24"/>
          <w:highlight w:val="none"/>
          <w:u w:val="single"/>
        </w:rPr>
        <w:t>荔湾区山村城中村改造(一期)项目临时管线迁改勘察设计施工总承包项目</w:t>
      </w:r>
      <w:r>
        <w:rPr>
          <w:rFonts w:hint="eastAsia" w:ascii="宋体" w:hAnsi="宋体" w:cs="宋体"/>
          <w:color w:val="auto"/>
          <w:sz w:val="24"/>
          <w:highlight w:val="none"/>
        </w:rPr>
        <w:t>。</w:t>
      </w:r>
    </w:p>
    <w:p w14:paraId="25A474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3.2本项目实行勘察设计总承包，乙方的勘察设计范围包括但不限于：</w:t>
      </w:r>
    </w:p>
    <w:p w14:paraId="3112E3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3.2.1负责以下工作并提交相关文件：初步勘察设计迁改方案、项目概算编制、施工图勘察设计，项目预算编制。</w:t>
      </w:r>
    </w:p>
    <w:p w14:paraId="3CB402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3.2.2负责配合甲方开展报建报批并提交相关文件，根据需要，提交包括但不限于以下文件：管线综合规划、专业报建等各项相关工作。</w:t>
      </w:r>
    </w:p>
    <w:p w14:paraId="60C99A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3.2.3负责专业勘察设计，具体按甲方要求。</w:t>
      </w:r>
    </w:p>
    <w:p w14:paraId="3149EE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3.2.4配合甲方完成竣工图审核；配合工程验收；勘察设计图修改、工程变更勘察设计应办理的手续；需要深化勘察设计的内容应确认。</w:t>
      </w:r>
    </w:p>
    <w:p w14:paraId="7C464A9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3.2.5负责本项目施工勘察设计方面的配合工作。按合同约定提供现场服务及专人驻场服务等，现场工作的劳务、管理、住宿、临时办公、材料、保险、利润、税金、政策性文件规定及合同包含内的所有风险、责任等各项费用，不论其在招标文件中是否提及均由乙方自行承担。</w:t>
      </w:r>
    </w:p>
    <w:p w14:paraId="2FA883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3.2.6勘察设计至竣工验收期间所发生的甲方要求的本工程的勘察设计图纸、资料加晒等费用。</w:t>
      </w:r>
    </w:p>
    <w:p w14:paraId="6EC147E1">
      <w:pPr>
        <w:pStyle w:val="2"/>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3.3乙方项目勘察设计负责人</w:t>
      </w:r>
    </w:p>
    <w:p w14:paraId="07EF8411">
      <w:pPr>
        <w:pStyle w:val="2"/>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，代表乙方勘察设计单位全权处理本工程的一切事务。</w:t>
      </w:r>
    </w:p>
    <w:p w14:paraId="0AAA4770">
      <w:pPr>
        <w:pStyle w:val="2"/>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义务：履行勘察设计职责，行使乙方勘察设计单位勘察设计工作。</w:t>
      </w:r>
    </w:p>
    <w:p w14:paraId="41833D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3.3.1乙方如需更换勘察设计负责人，按有关规定执行，后任继续行使合同文件约定的前任的职权，履行前任的义务。未征得甲方书面同意，乙方不得更换。</w:t>
      </w:r>
    </w:p>
    <w:p w14:paraId="62CF992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3.3.2甲方可以与乙方协商，建议更换其认为不称职的，乙方应及时采纳甲方的建议予以更换，新更换的勘察设计负责人应满足本项目相应的资质要求、且业绩资历不得低于原负责人。</w:t>
      </w:r>
    </w:p>
    <w:p w14:paraId="51326B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代表甲方负责工程勘察设计工作范围内的质量、进度、技术、投资控制等勘察设计期间的日常管理工作，履行与乙方签订的本建设工程勘察设计合同。勘察设计图纸上必须有项目负责人和专业负责人签名，报告、图纸中签名的项目负责人及专业负责人须与投标文件中列明的或经甲方同意变更的项目负责人及专业负责人一致。</w:t>
      </w:r>
    </w:p>
    <w:p w14:paraId="636326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3.3.4乙方接受任务时，应在专用合同条款中明确其负责工程勘察设计的勘察设计人代表的姓名、职务、联系方式及授权范围等事项。乙方代表在乙方的授权范围内，负责处理合同履行过程中与勘察设计人有关的具体事宜，勘察设计人需要更换项目负责人的，应在专用合同条款约定的期限内提前书面通知甲方，并征得甲方书面同意。通知中应当载明继任项目负责人的注册执业资格或职称、管理经验等资料。未经甲方书面同意，乙方不得擅自更换项目勘察设计负责人。乙方擅自更换项目勘察设计负责人的，应按照专用合同条款的约定承担违约责任。对于乙方项目负责人确因患病、与乙方解除或终止劳动关系、工伤等原因更换项目勘察设计负责人的，甲方无正当理由不得拒绝更换。 </w:t>
      </w:r>
    </w:p>
    <w:p w14:paraId="66D369E9">
      <w:pPr>
        <w:spacing w:line="360" w:lineRule="auto"/>
        <w:ind w:firstLine="480" w:firstLineChars="200"/>
        <w:rPr>
          <w:rFonts w:hint="eastAsia" w:ascii="宋体" w:hAnsi="宋体" w:cs="宋体"/>
          <w:color w:val="auto"/>
          <w:sz w:val="24"/>
          <w:highlight w:val="none"/>
        </w:rPr>
      </w:pPr>
      <w:r>
        <w:rPr>
          <w:rFonts w:hint="eastAsia" w:ascii="宋体" w:hAnsi="宋体" w:cs="宋体"/>
          <w:b/>
          <w:bCs/>
          <w:color w:val="auto"/>
          <w:sz w:val="24"/>
          <w:highlight w:val="none"/>
        </w:rPr>
        <w:t>第四条 甲方向乙方提交的有关资料、文件及时间　</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3256"/>
        <w:gridCol w:w="1284"/>
        <w:gridCol w:w="1678"/>
        <w:gridCol w:w="1422"/>
      </w:tblGrid>
      <w:tr w14:paraId="414B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5792EC54">
            <w:pPr>
              <w:pStyle w:val="195"/>
              <w:jc w:val="center"/>
              <w:rPr>
                <w:rFonts w:hint="eastAsia" w:hAnsi="宋体" w:cs="宋体"/>
                <w:b/>
                <w:color w:val="auto"/>
                <w:szCs w:val="21"/>
                <w:highlight w:val="none"/>
              </w:rPr>
            </w:pPr>
            <w:r>
              <w:rPr>
                <w:rFonts w:hint="eastAsia" w:hAnsi="宋体" w:cs="宋体"/>
                <w:b/>
                <w:color w:val="auto"/>
                <w:szCs w:val="21"/>
                <w:highlight w:val="none"/>
              </w:rPr>
              <w:t>序号</w:t>
            </w:r>
          </w:p>
        </w:tc>
        <w:tc>
          <w:tcPr>
            <w:tcW w:w="3465" w:type="dxa"/>
            <w:tcBorders>
              <w:top w:val="single" w:color="auto" w:sz="4" w:space="0"/>
              <w:left w:val="single" w:color="auto" w:sz="4" w:space="0"/>
              <w:bottom w:val="single" w:color="auto" w:sz="4" w:space="0"/>
              <w:right w:val="single" w:color="auto" w:sz="4" w:space="0"/>
            </w:tcBorders>
            <w:vAlign w:val="center"/>
          </w:tcPr>
          <w:p w14:paraId="3A8146CE">
            <w:pPr>
              <w:pStyle w:val="195"/>
              <w:jc w:val="center"/>
              <w:rPr>
                <w:rFonts w:hint="eastAsia" w:hAnsi="宋体" w:cs="宋体"/>
                <w:b/>
                <w:color w:val="auto"/>
                <w:szCs w:val="21"/>
                <w:highlight w:val="none"/>
              </w:rPr>
            </w:pPr>
            <w:r>
              <w:rPr>
                <w:rFonts w:hint="eastAsia" w:hAnsi="宋体" w:cs="宋体"/>
                <w:b/>
                <w:color w:val="auto"/>
                <w:szCs w:val="21"/>
                <w:highlight w:val="none"/>
              </w:rPr>
              <w:t>资料及文件名称</w:t>
            </w:r>
          </w:p>
        </w:tc>
        <w:tc>
          <w:tcPr>
            <w:tcW w:w="1365" w:type="dxa"/>
            <w:tcBorders>
              <w:top w:val="single" w:color="auto" w:sz="4" w:space="0"/>
              <w:left w:val="single" w:color="auto" w:sz="4" w:space="0"/>
              <w:bottom w:val="single" w:color="auto" w:sz="4" w:space="0"/>
              <w:right w:val="single" w:color="auto" w:sz="4" w:space="0"/>
            </w:tcBorders>
            <w:vAlign w:val="center"/>
          </w:tcPr>
          <w:p w14:paraId="0C862315">
            <w:pPr>
              <w:pStyle w:val="195"/>
              <w:jc w:val="center"/>
              <w:rPr>
                <w:rFonts w:hint="eastAsia" w:hAnsi="宋体" w:cs="宋体"/>
                <w:b/>
                <w:color w:val="auto"/>
                <w:szCs w:val="21"/>
                <w:highlight w:val="none"/>
              </w:rPr>
            </w:pPr>
            <w:r>
              <w:rPr>
                <w:rFonts w:hint="eastAsia" w:hAnsi="宋体" w:cs="宋体"/>
                <w:b/>
                <w:color w:val="auto"/>
                <w:szCs w:val="21"/>
                <w:highlight w:val="none"/>
              </w:rPr>
              <w:t>份数</w:t>
            </w:r>
          </w:p>
        </w:tc>
        <w:tc>
          <w:tcPr>
            <w:tcW w:w="1785" w:type="dxa"/>
            <w:tcBorders>
              <w:top w:val="single" w:color="auto" w:sz="4" w:space="0"/>
              <w:left w:val="single" w:color="auto" w:sz="4" w:space="0"/>
              <w:bottom w:val="single" w:color="auto" w:sz="4" w:space="0"/>
              <w:right w:val="single" w:color="auto" w:sz="4" w:space="0"/>
            </w:tcBorders>
            <w:vAlign w:val="center"/>
          </w:tcPr>
          <w:p w14:paraId="10FC92BB">
            <w:pPr>
              <w:pStyle w:val="195"/>
              <w:jc w:val="center"/>
              <w:rPr>
                <w:rFonts w:hint="eastAsia" w:hAnsi="宋体" w:cs="宋体"/>
                <w:b/>
                <w:color w:val="auto"/>
                <w:szCs w:val="21"/>
                <w:highlight w:val="none"/>
              </w:rPr>
            </w:pPr>
            <w:r>
              <w:rPr>
                <w:rFonts w:hint="eastAsia" w:hAnsi="宋体" w:cs="宋体"/>
                <w:b/>
                <w:color w:val="auto"/>
                <w:szCs w:val="21"/>
                <w:highlight w:val="none"/>
              </w:rPr>
              <w:t>提交日期</w:t>
            </w:r>
          </w:p>
        </w:tc>
        <w:tc>
          <w:tcPr>
            <w:tcW w:w="1513" w:type="dxa"/>
            <w:tcBorders>
              <w:top w:val="single" w:color="auto" w:sz="4" w:space="0"/>
              <w:left w:val="single" w:color="auto" w:sz="4" w:space="0"/>
              <w:bottom w:val="single" w:color="auto" w:sz="4" w:space="0"/>
              <w:right w:val="single" w:color="auto" w:sz="4" w:space="0"/>
            </w:tcBorders>
            <w:vAlign w:val="center"/>
          </w:tcPr>
          <w:p w14:paraId="4495C8F4">
            <w:pPr>
              <w:pStyle w:val="195"/>
              <w:jc w:val="center"/>
              <w:rPr>
                <w:rFonts w:hint="eastAsia" w:hAnsi="宋体" w:cs="宋体"/>
                <w:b/>
                <w:color w:val="auto"/>
                <w:szCs w:val="21"/>
                <w:highlight w:val="none"/>
              </w:rPr>
            </w:pPr>
            <w:r>
              <w:rPr>
                <w:rFonts w:hint="eastAsia" w:hAnsi="宋体" w:cs="宋体"/>
                <w:b/>
                <w:color w:val="auto"/>
                <w:szCs w:val="21"/>
                <w:highlight w:val="none"/>
              </w:rPr>
              <w:t>有关事宜</w:t>
            </w:r>
          </w:p>
        </w:tc>
      </w:tr>
      <w:tr w14:paraId="70273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79611B39">
            <w:pPr>
              <w:pStyle w:val="195"/>
              <w:rPr>
                <w:rFonts w:hint="eastAsia" w:hAnsi="宋体" w:cs="宋体"/>
                <w:bCs/>
                <w:color w:val="auto"/>
                <w:szCs w:val="21"/>
                <w:highlight w:val="none"/>
              </w:rPr>
            </w:pPr>
            <w:r>
              <w:rPr>
                <w:rFonts w:hint="eastAsia" w:hAnsi="宋体" w:cs="宋体"/>
                <w:bCs/>
                <w:color w:val="auto"/>
                <w:szCs w:val="21"/>
                <w:highlight w:val="none"/>
              </w:rPr>
              <w:t>1</w:t>
            </w:r>
          </w:p>
        </w:tc>
        <w:tc>
          <w:tcPr>
            <w:tcW w:w="3465" w:type="dxa"/>
            <w:tcBorders>
              <w:top w:val="single" w:color="auto" w:sz="4" w:space="0"/>
              <w:left w:val="single" w:color="auto" w:sz="4" w:space="0"/>
              <w:bottom w:val="single" w:color="auto" w:sz="4" w:space="0"/>
              <w:right w:val="single" w:color="auto" w:sz="4" w:space="0"/>
            </w:tcBorders>
            <w:vAlign w:val="center"/>
          </w:tcPr>
          <w:p w14:paraId="1D5E43A8">
            <w:pPr>
              <w:pStyle w:val="195"/>
              <w:rPr>
                <w:rFonts w:hint="eastAsia" w:hAnsi="宋体" w:cs="宋体"/>
                <w:bCs/>
                <w:color w:val="auto"/>
                <w:szCs w:val="21"/>
                <w:highlight w:val="none"/>
              </w:rPr>
            </w:pPr>
            <w:r>
              <w:rPr>
                <w:rFonts w:hint="eastAsia" w:hAnsi="宋体" w:cs="宋体"/>
                <w:bCs/>
                <w:color w:val="auto"/>
                <w:szCs w:val="21"/>
                <w:highlight w:val="none"/>
              </w:rPr>
              <w:t>中标通知书</w:t>
            </w:r>
          </w:p>
        </w:tc>
        <w:tc>
          <w:tcPr>
            <w:tcW w:w="1365" w:type="dxa"/>
            <w:tcBorders>
              <w:top w:val="single" w:color="auto" w:sz="4" w:space="0"/>
              <w:left w:val="single" w:color="auto" w:sz="4" w:space="0"/>
              <w:bottom w:val="single" w:color="auto" w:sz="4" w:space="0"/>
              <w:right w:val="single" w:color="auto" w:sz="4" w:space="0"/>
            </w:tcBorders>
            <w:vAlign w:val="center"/>
          </w:tcPr>
          <w:p w14:paraId="445657E0">
            <w:pPr>
              <w:pStyle w:val="195"/>
              <w:rPr>
                <w:rFonts w:hint="eastAsia" w:hAnsi="宋体" w:cs="宋体"/>
                <w:bCs/>
                <w:color w:val="auto"/>
                <w:szCs w:val="21"/>
                <w:highlight w:val="none"/>
              </w:rPr>
            </w:pPr>
            <w:r>
              <w:rPr>
                <w:rFonts w:hint="eastAsia" w:hAnsi="宋体" w:cs="宋体"/>
                <w:bCs/>
                <w:color w:val="auto"/>
                <w:szCs w:val="21"/>
                <w:highlight w:val="none"/>
              </w:rPr>
              <w:t>1</w:t>
            </w:r>
          </w:p>
        </w:tc>
        <w:tc>
          <w:tcPr>
            <w:tcW w:w="1785" w:type="dxa"/>
            <w:tcBorders>
              <w:top w:val="single" w:color="auto" w:sz="4" w:space="0"/>
              <w:left w:val="single" w:color="auto" w:sz="4" w:space="0"/>
              <w:bottom w:val="single" w:color="auto" w:sz="4" w:space="0"/>
              <w:right w:val="single" w:color="auto" w:sz="4" w:space="0"/>
            </w:tcBorders>
            <w:vAlign w:val="center"/>
          </w:tcPr>
          <w:p w14:paraId="3F761008">
            <w:pPr>
              <w:pStyle w:val="195"/>
              <w:rPr>
                <w:rFonts w:hint="eastAsia" w:hAnsi="宋体" w:cs="宋体"/>
                <w:bCs/>
                <w:color w:val="auto"/>
                <w:szCs w:val="21"/>
                <w:highlight w:val="none"/>
              </w:rPr>
            </w:pPr>
            <w:r>
              <w:rPr>
                <w:rFonts w:hint="eastAsia" w:hAnsi="宋体" w:cs="宋体"/>
                <w:bCs/>
                <w:color w:val="auto"/>
                <w:szCs w:val="21"/>
                <w:highlight w:val="none"/>
              </w:rPr>
              <w:t>合同签订前</w:t>
            </w:r>
          </w:p>
        </w:tc>
        <w:tc>
          <w:tcPr>
            <w:tcW w:w="1513" w:type="dxa"/>
            <w:tcBorders>
              <w:top w:val="single" w:color="auto" w:sz="4" w:space="0"/>
              <w:left w:val="single" w:color="auto" w:sz="4" w:space="0"/>
              <w:bottom w:val="single" w:color="auto" w:sz="4" w:space="0"/>
              <w:right w:val="single" w:color="auto" w:sz="4" w:space="0"/>
            </w:tcBorders>
            <w:vAlign w:val="center"/>
          </w:tcPr>
          <w:p w14:paraId="2F51CCB6">
            <w:pPr>
              <w:pStyle w:val="195"/>
              <w:rPr>
                <w:rFonts w:hint="eastAsia" w:hAnsi="宋体" w:cs="宋体"/>
                <w:bCs/>
                <w:color w:val="auto"/>
                <w:szCs w:val="21"/>
                <w:highlight w:val="none"/>
              </w:rPr>
            </w:pPr>
          </w:p>
        </w:tc>
      </w:tr>
      <w:tr w14:paraId="3CCC8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2BB85D3D">
            <w:pPr>
              <w:pStyle w:val="195"/>
              <w:rPr>
                <w:rFonts w:hint="eastAsia" w:hAnsi="宋体" w:cs="宋体"/>
                <w:bCs/>
                <w:color w:val="auto"/>
                <w:szCs w:val="21"/>
                <w:highlight w:val="none"/>
              </w:rPr>
            </w:pPr>
            <w:r>
              <w:rPr>
                <w:rFonts w:hint="eastAsia" w:hAnsi="宋体" w:cs="宋体"/>
                <w:bCs/>
                <w:color w:val="auto"/>
                <w:szCs w:val="21"/>
                <w:highlight w:val="none"/>
              </w:rPr>
              <w:t>2</w:t>
            </w:r>
          </w:p>
        </w:tc>
        <w:tc>
          <w:tcPr>
            <w:tcW w:w="3465" w:type="dxa"/>
            <w:tcBorders>
              <w:top w:val="single" w:color="auto" w:sz="4" w:space="0"/>
              <w:left w:val="single" w:color="auto" w:sz="4" w:space="0"/>
              <w:bottom w:val="single" w:color="auto" w:sz="4" w:space="0"/>
              <w:right w:val="single" w:color="auto" w:sz="4" w:space="0"/>
            </w:tcBorders>
            <w:vAlign w:val="center"/>
          </w:tcPr>
          <w:p w14:paraId="5ADDB803">
            <w:pPr>
              <w:pStyle w:val="195"/>
              <w:rPr>
                <w:rFonts w:hint="eastAsia" w:hAnsi="宋体" w:cs="宋体"/>
                <w:bCs/>
                <w:color w:val="auto"/>
                <w:szCs w:val="21"/>
                <w:highlight w:val="none"/>
              </w:rPr>
            </w:pPr>
            <w:r>
              <w:rPr>
                <w:rFonts w:hint="eastAsia" w:hAnsi="宋体" w:cs="宋体"/>
                <w:bCs/>
                <w:color w:val="auto"/>
                <w:szCs w:val="21"/>
                <w:highlight w:val="none"/>
              </w:rPr>
              <w:t>勘察设计基础资料</w:t>
            </w:r>
          </w:p>
        </w:tc>
        <w:tc>
          <w:tcPr>
            <w:tcW w:w="1365" w:type="dxa"/>
            <w:tcBorders>
              <w:top w:val="single" w:color="auto" w:sz="4" w:space="0"/>
              <w:left w:val="single" w:color="auto" w:sz="4" w:space="0"/>
              <w:bottom w:val="single" w:color="auto" w:sz="4" w:space="0"/>
              <w:right w:val="single" w:color="auto" w:sz="4" w:space="0"/>
            </w:tcBorders>
            <w:vAlign w:val="center"/>
          </w:tcPr>
          <w:p w14:paraId="06E9368A">
            <w:pPr>
              <w:pStyle w:val="195"/>
              <w:rPr>
                <w:rFonts w:hint="eastAsia" w:hAnsi="宋体" w:cs="宋体"/>
                <w:bCs/>
                <w:color w:val="auto"/>
                <w:szCs w:val="21"/>
                <w:highlight w:val="none"/>
              </w:rPr>
            </w:pPr>
            <w:r>
              <w:rPr>
                <w:rFonts w:hint="eastAsia" w:hAnsi="宋体" w:cs="宋体"/>
                <w:bCs/>
                <w:color w:val="auto"/>
                <w:szCs w:val="21"/>
                <w:highlight w:val="none"/>
              </w:rPr>
              <w:t>1</w:t>
            </w:r>
          </w:p>
        </w:tc>
        <w:tc>
          <w:tcPr>
            <w:tcW w:w="1785" w:type="dxa"/>
            <w:tcBorders>
              <w:top w:val="single" w:color="auto" w:sz="4" w:space="0"/>
              <w:left w:val="single" w:color="auto" w:sz="4" w:space="0"/>
              <w:bottom w:val="single" w:color="auto" w:sz="4" w:space="0"/>
              <w:right w:val="single" w:color="auto" w:sz="4" w:space="0"/>
            </w:tcBorders>
            <w:vAlign w:val="center"/>
          </w:tcPr>
          <w:p w14:paraId="3BDE11BE">
            <w:pPr>
              <w:pStyle w:val="195"/>
              <w:rPr>
                <w:rFonts w:hint="eastAsia" w:hAnsi="宋体" w:cs="宋体"/>
                <w:bCs/>
                <w:color w:val="auto"/>
                <w:szCs w:val="21"/>
                <w:highlight w:val="none"/>
              </w:rPr>
            </w:pPr>
            <w:r>
              <w:rPr>
                <w:rFonts w:hint="eastAsia" w:hAnsi="宋体" w:cs="宋体"/>
                <w:bCs/>
                <w:color w:val="auto"/>
                <w:szCs w:val="21"/>
                <w:highlight w:val="none"/>
              </w:rPr>
              <w:t>合同签订前</w:t>
            </w:r>
          </w:p>
        </w:tc>
        <w:tc>
          <w:tcPr>
            <w:tcW w:w="1513" w:type="dxa"/>
            <w:tcBorders>
              <w:top w:val="single" w:color="auto" w:sz="4" w:space="0"/>
              <w:left w:val="single" w:color="auto" w:sz="4" w:space="0"/>
              <w:bottom w:val="single" w:color="auto" w:sz="4" w:space="0"/>
              <w:right w:val="single" w:color="auto" w:sz="4" w:space="0"/>
            </w:tcBorders>
            <w:vAlign w:val="center"/>
          </w:tcPr>
          <w:p w14:paraId="515B760C">
            <w:pPr>
              <w:pStyle w:val="195"/>
              <w:rPr>
                <w:rFonts w:hint="eastAsia" w:hAnsi="宋体" w:cs="宋体"/>
                <w:bCs/>
                <w:color w:val="auto"/>
                <w:szCs w:val="21"/>
                <w:highlight w:val="none"/>
              </w:rPr>
            </w:pPr>
          </w:p>
        </w:tc>
      </w:tr>
    </w:tbl>
    <w:p w14:paraId="0CECEAB8">
      <w:pPr>
        <w:spacing w:line="360" w:lineRule="auto"/>
        <w:ind w:firstLine="475" w:firstLineChars="198"/>
        <w:rPr>
          <w:rFonts w:hint="eastAsia" w:ascii="宋体" w:hAnsi="宋体" w:cs="宋体"/>
          <w:b/>
          <w:bCs/>
          <w:color w:val="auto"/>
          <w:sz w:val="24"/>
          <w:highlight w:val="none"/>
        </w:rPr>
      </w:pPr>
    </w:p>
    <w:p w14:paraId="77F5585A">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第五条  勘察设计工期、勘察设计文件提交的约定</w:t>
      </w:r>
    </w:p>
    <w:p w14:paraId="1A4B67CA">
      <w:pPr>
        <w:pStyle w:val="195"/>
        <w:spacing w:line="360" w:lineRule="auto"/>
        <w:ind w:firstLine="480" w:firstLineChars="200"/>
        <w:rPr>
          <w:rFonts w:hint="eastAsia" w:hAnsi="宋体" w:cs="宋体"/>
          <w:color w:val="auto"/>
          <w:sz w:val="24"/>
          <w:highlight w:val="none"/>
        </w:rPr>
      </w:pPr>
      <w:r>
        <w:rPr>
          <w:rFonts w:hint="eastAsia" w:hAnsi="宋体" w:cs="宋体"/>
          <w:color w:val="auto"/>
          <w:sz w:val="24"/>
          <w:szCs w:val="24"/>
          <w:highlight w:val="none"/>
        </w:rPr>
        <w:t>5.1</w:t>
      </w:r>
      <w:r>
        <w:rPr>
          <w:rFonts w:hint="eastAsia" w:hAnsi="宋体" w:cs="宋体"/>
          <w:color w:val="auto"/>
          <w:sz w:val="24"/>
          <w:highlight w:val="none"/>
        </w:rPr>
        <w:t>勘察设计工期：在本合同签订后</w:t>
      </w:r>
      <w:r>
        <w:rPr>
          <w:rFonts w:hint="eastAsia" w:hAnsi="宋体" w:cs="宋体"/>
          <w:color w:val="auto"/>
          <w:sz w:val="24"/>
          <w:highlight w:val="none"/>
          <w:u w:val="single"/>
        </w:rPr>
        <w:t xml:space="preserve"> 15</w:t>
      </w:r>
      <w:r>
        <w:rPr>
          <w:rFonts w:hint="eastAsia" w:hAnsi="宋体" w:cs="宋体"/>
          <w:color w:val="auto"/>
          <w:sz w:val="24"/>
          <w:highlight w:val="none"/>
        </w:rPr>
        <w:t>日内完成项目整体初步勘察设计</w:t>
      </w:r>
      <w:r>
        <w:rPr>
          <w:rFonts w:hint="eastAsia" w:hAnsi="宋体" w:cs="宋体"/>
          <w:b/>
          <w:color w:val="auto"/>
          <w:sz w:val="24"/>
          <w:highlight w:val="none"/>
        </w:rPr>
        <w:t>迁改方案及项目概算书</w:t>
      </w:r>
      <w:r>
        <w:rPr>
          <w:rFonts w:hint="eastAsia" w:hAnsi="宋体" w:cs="宋体"/>
          <w:color w:val="auto"/>
          <w:sz w:val="24"/>
          <w:highlight w:val="none"/>
        </w:rPr>
        <w:t>。自收到管线迁改任务书或工作联系单，10日内完成指定范围的</w:t>
      </w:r>
      <w:r>
        <w:rPr>
          <w:rFonts w:hint="eastAsia" w:hAnsi="宋体" w:cs="宋体"/>
          <w:b/>
          <w:color w:val="auto"/>
          <w:sz w:val="24"/>
          <w:highlight w:val="none"/>
        </w:rPr>
        <w:t>施工图勘察设计。</w:t>
      </w:r>
      <w:r>
        <w:rPr>
          <w:rFonts w:hint="eastAsia" w:hAnsi="宋体" w:cs="宋体"/>
          <w:color w:val="auto"/>
          <w:sz w:val="24"/>
          <w:highlight w:val="none"/>
        </w:rPr>
        <w:t>施工图勘察设计文件经审查发现问题后</w:t>
      </w:r>
      <w:r>
        <w:rPr>
          <w:rFonts w:hint="eastAsia" w:hAnsi="宋体" w:cs="宋体"/>
          <w:color w:val="auto"/>
          <w:sz w:val="24"/>
          <w:highlight w:val="none"/>
          <w:u w:val="single"/>
        </w:rPr>
        <w:t xml:space="preserve"> 3</w:t>
      </w:r>
      <w:r>
        <w:rPr>
          <w:rFonts w:hint="eastAsia" w:hAnsi="宋体" w:cs="宋体"/>
          <w:color w:val="auto"/>
          <w:sz w:val="24"/>
          <w:highlight w:val="none"/>
        </w:rPr>
        <w:t>日内完成补充、修改。</w:t>
      </w:r>
    </w:p>
    <w:p w14:paraId="59D963DB">
      <w:pPr>
        <w:pStyle w:val="19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5.2乙方应向甲方交付的勘察设计资料、文件及时间：</w:t>
      </w:r>
    </w:p>
    <w:tbl>
      <w:tblPr>
        <w:tblStyle w:val="30"/>
        <w:tblW w:w="91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20"/>
        <w:gridCol w:w="2228"/>
        <w:gridCol w:w="1234"/>
        <w:gridCol w:w="1578"/>
        <w:gridCol w:w="3420"/>
      </w:tblGrid>
      <w:tr w14:paraId="447C8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blHeader/>
          <w:jc w:val="center"/>
        </w:trPr>
        <w:tc>
          <w:tcPr>
            <w:tcW w:w="720" w:type="dxa"/>
          </w:tcPr>
          <w:p w14:paraId="03D8C099">
            <w:pP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228" w:type="dxa"/>
            <w:vAlign w:val="center"/>
          </w:tcPr>
          <w:p w14:paraId="2D61609C">
            <w:pPr>
              <w:rPr>
                <w:rFonts w:hint="eastAsia" w:ascii="宋体" w:hAnsi="宋体" w:cs="宋体"/>
                <w:b/>
                <w:color w:val="auto"/>
                <w:szCs w:val="21"/>
                <w:highlight w:val="none"/>
              </w:rPr>
            </w:pPr>
            <w:r>
              <w:rPr>
                <w:rFonts w:hint="eastAsia" w:ascii="宋体" w:hAnsi="宋体" w:cs="宋体"/>
                <w:b/>
                <w:color w:val="auto"/>
                <w:szCs w:val="21"/>
                <w:highlight w:val="none"/>
              </w:rPr>
              <w:t>资料及文件名称</w:t>
            </w:r>
          </w:p>
        </w:tc>
        <w:tc>
          <w:tcPr>
            <w:tcW w:w="1234" w:type="dxa"/>
          </w:tcPr>
          <w:p w14:paraId="0BC40EE7">
            <w:pPr>
              <w:rPr>
                <w:rFonts w:hint="eastAsia" w:ascii="宋体" w:hAnsi="宋体" w:cs="宋体"/>
                <w:b/>
                <w:color w:val="auto"/>
                <w:szCs w:val="21"/>
                <w:highlight w:val="none"/>
              </w:rPr>
            </w:pPr>
            <w:r>
              <w:rPr>
                <w:rFonts w:hint="eastAsia" w:ascii="宋体" w:hAnsi="宋体" w:cs="宋体"/>
                <w:b/>
                <w:color w:val="auto"/>
                <w:szCs w:val="21"/>
                <w:highlight w:val="none"/>
              </w:rPr>
              <w:t>份数</w:t>
            </w:r>
          </w:p>
        </w:tc>
        <w:tc>
          <w:tcPr>
            <w:tcW w:w="1578" w:type="dxa"/>
            <w:vAlign w:val="center"/>
          </w:tcPr>
          <w:p w14:paraId="7B7C594E">
            <w:pPr>
              <w:rPr>
                <w:rFonts w:hint="eastAsia" w:ascii="宋体" w:hAnsi="宋体" w:cs="宋体"/>
                <w:b/>
                <w:color w:val="auto"/>
                <w:szCs w:val="21"/>
                <w:highlight w:val="none"/>
              </w:rPr>
            </w:pPr>
            <w:r>
              <w:rPr>
                <w:rFonts w:hint="eastAsia" w:ascii="宋体" w:hAnsi="宋体" w:cs="宋体"/>
                <w:b/>
                <w:color w:val="auto"/>
                <w:szCs w:val="21"/>
                <w:highlight w:val="none"/>
              </w:rPr>
              <w:t>提交日期</w:t>
            </w:r>
          </w:p>
        </w:tc>
        <w:tc>
          <w:tcPr>
            <w:tcW w:w="3420" w:type="dxa"/>
            <w:vAlign w:val="center"/>
          </w:tcPr>
          <w:p w14:paraId="6C7AF7AD">
            <w:pPr>
              <w:rPr>
                <w:rFonts w:hint="eastAsia" w:ascii="宋体" w:hAnsi="宋体" w:cs="宋体"/>
                <w:b/>
                <w:color w:val="auto"/>
                <w:szCs w:val="21"/>
                <w:highlight w:val="none"/>
              </w:rPr>
            </w:pPr>
            <w:r>
              <w:rPr>
                <w:rFonts w:hint="eastAsia" w:ascii="宋体" w:hAnsi="宋体" w:cs="宋体"/>
                <w:b/>
                <w:color w:val="auto"/>
                <w:szCs w:val="21"/>
                <w:highlight w:val="none"/>
              </w:rPr>
              <w:t>有关事宜</w:t>
            </w:r>
          </w:p>
        </w:tc>
      </w:tr>
      <w:tr w14:paraId="608B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72" w:hRule="atLeast"/>
          <w:jc w:val="center"/>
        </w:trPr>
        <w:tc>
          <w:tcPr>
            <w:tcW w:w="720" w:type="dxa"/>
            <w:vAlign w:val="center"/>
          </w:tcPr>
          <w:p w14:paraId="789C0244">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2228" w:type="dxa"/>
            <w:vAlign w:val="center"/>
          </w:tcPr>
          <w:p w14:paraId="140FE570">
            <w:pPr>
              <w:rPr>
                <w:rFonts w:hint="eastAsia" w:ascii="宋体" w:hAnsi="宋体" w:cs="宋体"/>
                <w:color w:val="auto"/>
                <w:szCs w:val="21"/>
                <w:highlight w:val="none"/>
              </w:rPr>
            </w:pPr>
            <w:r>
              <w:rPr>
                <w:rFonts w:hint="eastAsia" w:ascii="宋体" w:hAnsi="宋体" w:cs="宋体"/>
                <w:color w:val="auto"/>
                <w:szCs w:val="21"/>
                <w:highlight w:val="none"/>
              </w:rPr>
              <w:t>初步设计迁改方案</w:t>
            </w:r>
          </w:p>
        </w:tc>
        <w:tc>
          <w:tcPr>
            <w:tcW w:w="1234" w:type="dxa"/>
            <w:vAlign w:val="center"/>
          </w:tcPr>
          <w:p w14:paraId="40E1C18B">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1578" w:type="dxa"/>
            <w:vAlign w:val="center"/>
          </w:tcPr>
          <w:p w14:paraId="2FCAD2C1">
            <w:pPr>
              <w:rPr>
                <w:rFonts w:hint="eastAsia" w:ascii="宋体" w:hAnsi="宋体" w:cs="宋体"/>
                <w:color w:val="auto"/>
                <w:szCs w:val="21"/>
                <w:highlight w:val="none"/>
              </w:rPr>
            </w:pPr>
            <w:r>
              <w:rPr>
                <w:rFonts w:hint="eastAsia" w:ascii="宋体" w:hAnsi="宋体" w:cs="宋体"/>
                <w:color w:val="auto"/>
                <w:szCs w:val="21"/>
                <w:highlight w:val="none"/>
              </w:rPr>
              <w:t>合同签订15日内</w:t>
            </w:r>
          </w:p>
        </w:tc>
        <w:tc>
          <w:tcPr>
            <w:tcW w:w="3420" w:type="dxa"/>
            <w:vMerge w:val="restart"/>
          </w:tcPr>
          <w:p w14:paraId="1304071D">
            <w:pPr>
              <w:rPr>
                <w:rFonts w:hint="eastAsia" w:ascii="宋体" w:hAnsi="宋体" w:cs="宋体"/>
                <w:color w:val="auto"/>
                <w:szCs w:val="21"/>
                <w:highlight w:val="none"/>
              </w:rPr>
            </w:pPr>
            <w:r>
              <w:rPr>
                <w:rFonts w:hint="eastAsia" w:ascii="宋体" w:hAnsi="宋体" w:cs="宋体"/>
                <w:color w:val="auto"/>
                <w:szCs w:val="21"/>
                <w:highlight w:val="none"/>
              </w:rPr>
              <w:t>1、乙方提交的设计文件内容及格式应满足有关审批和审查部门的报送要求，乙方应按照相关部门的审核进度修改，直至取得批复为止。</w:t>
            </w:r>
          </w:p>
          <w:p w14:paraId="1C91A493">
            <w:pPr>
              <w:rPr>
                <w:rFonts w:hint="eastAsia" w:ascii="宋体" w:hAnsi="宋体" w:cs="宋体"/>
                <w:color w:val="auto"/>
                <w:szCs w:val="21"/>
                <w:highlight w:val="none"/>
              </w:rPr>
            </w:pPr>
            <w:r>
              <w:rPr>
                <w:rFonts w:hint="eastAsia" w:ascii="宋体" w:hAnsi="宋体" w:cs="宋体"/>
                <w:color w:val="auto"/>
                <w:szCs w:val="21"/>
                <w:highlight w:val="none"/>
              </w:rPr>
              <w:t>2、乙方提交的设计文件数量应满足乙方办理报审、报批及存档的有关手续和要求。</w:t>
            </w:r>
          </w:p>
          <w:p w14:paraId="1A63685B">
            <w:pPr>
              <w:rPr>
                <w:rFonts w:hint="eastAsia" w:ascii="宋体" w:hAnsi="宋体" w:cs="宋体"/>
                <w:color w:val="auto"/>
                <w:szCs w:val="21"/>
                <w:highlight w:val="none"/>
              </w:rPr>
            </w:pPr>
            <w:r>
              <w:rPr>
                <w:rFonts w:hint="eastAsia" w:ascii="宋体" w:hAnsi="宋体" w:cs="宋体"/>
                <w:color w:val="auto"/>
                <w:szCs w:val="21"/>
                <w:highlight w:val="none"/>
              </w:rPr>
              <w:t>3、如有关评审或审批因勘察设计原因未批准的，由乙方负责。</w:t>
            </w:r>
          </w:p>
          <w:p w14:paraId="72A73370">
            <w:pPr>
              <w:rPr>
                <w:rFonts w:hint="eastAsia" w:ascii="宋体" w:hAnsi="宋体" w:cs="宋体"/>
                <w:color w:val="auto"/>
                <w:szCs w:val="21"/>
                <w:highlight w:val="none"/>
              </w:rPr>
            </w:pPr>
            <w:r>
              <w:rPr>
                <w:rFonts w:hint="eastAsia" w:ascii="宋体" w:hAnsi="宋体" w:cs="宋体"/>
                <w:color w:val="auto"/>
                <w:szCs w:val="21"/>
                <w:highlight w:val="none"/>
              </w:rPr>
              <w:t>4、提供设计成果时一起提供检测合格的电子文件及检测的有关证明资料。</w:t>
            </w:r>
          </w:p>
          <w:p w14:paraId="136D3B5D">
            <w:pPr>
              <w:rPr>
                <w:rFonts w:hint="eastAsia" w:ascii="宋体" w:hAnsi="宋体" w:cs="宋体"/>
                <w:color w:val="auto"/>
                <w:szCs w:val="21"/>
                <w:highlight w:val="none"/>
              </w:rPr>
            </w:pPr>
            <w:r>
              <w:rPr>
                <w:rFonts w:hint="eastAsia" w:ascii="宋体" w:hAnsi="宋体" w:cs="宋体"/>
                <w:color w:val="auto"/>
                <w:szCs w:val="21"/>
                <w:highlight w:val="none"/>
              </w:rPr>
              <w:t>5、施工图设计文件经审查发现问题后</w:t>
            </w:r>
            <w:r>
              <w:rPr>
                <w:rFonts w:hint="eastAsia" w:ascii="宋体" w:hAnsi="宋体" w:cs="宋体"/>
                <w:color w:val="auto"/>
                <w:szCs w:val="21"/>
                <w:highlight w:val="none"/>
                <w:u w:val="single"/>
              </w:rPr>
              <w:t>3</w:t>
            </w:r>
            <w:r>
              <w:rPr>
                <w:rFonts w:hint="eastAsia" w:ascii="宋体" w:hAnsi="宋体" w:cs="宋体"/>
                <w:color w:val="auto"/>
                <w:szCs w:val="21"/>
                <w:highlight w:val="none"/>
              </w:rPr>
              <w:t>日内完成补充、修改。</w:t>
            </w:r>
          </w:p>
        </w:tc>
      </w:tr>
      <w:tr w14:paraId="47DCC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60" w:hRule="atLeast"/>
          <w:jc w:val="center"/>
        </w:trPr>
        <w:tc>
          <w:tcPr>
            <w:tcW w:w="720" w:type="dxa"/>
            <w:tcBorders>
              <w:bottom w:val="single" w:color="auto" w:sz="4" w:space="0"/>
            </w:tcBorders>
            <w:vAlign w:val="center"/>
          </w:tcPr>
          <w:p w14:paraId="526524B8">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2228" w:type="dxa"/>
            <w:tcBorders>
              <w:bottom w:val="single" w:color="auto" w:sz="4" w:space="0"/>
            </w:tcBorders>
            <w:vAlign w:val="center"/>
          </w:tcPr>
          <w:p w14:paraId="0D3E7D64">
            <w:pPr>
              <w:rPr>
                <w:rFonts w:hint="eastAsia" w:ascii="宋体" w:hAnsi="宋体" w:cs="宋体"/>
                <w:color w:val="auto"/>
                <w:szCs w:val="21"/>
                <w:highlight w:val="none"/>
              </w:rPr>
            </w:pPr>
            <w:r>
              <w:rPr>
                <w:rFonts w:hint="eastAsia" w:ascii="宋体" w:hAnsi="宋体" w:cs="宋体"/>
                <w:color w:val="auto"/>
                <w:szCs w:val="21"/>
                <w:highlight w:val="none"/>
              </w:rPr>
              <w:t>概算书</w:t>
            </w:r>
          </w:p>
        </w:tc>
        <w:tc>
          <w:tcPr>
            <w:tcW w:w="1234" w:type="dxa"/>
            <w:tcBorders>
              <w:bottom w:val="single" w:color="auto" w:sz="4" w:space="0"/>
            </w:tcBorders>
            <w:vAlign w:val="center"/>
          </w:tcPr>
          <w:p w14:paraId="315D10F0">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1578" w:type="dxa"/>
            <w:tcBorders>
              <w:bottom w:val="single" w:color="auto" w:sz="4" w:space="0"/>
            </w:tcBorders>
            <w:vAlign w:val="center"/>
          </w:tcPr>
          <w:p w14:paraId="5A5F9616">
            <w:pPr>
              <w:rPr>
                <w:rFonts w:hint="eastAsia" w:ascii="宋体" w:hAnsi="宋体" w:cs="宋体"/>
                <w:color w:val="auto"/>
                <w:szCs w:val="21"/>
                <w:highlight w:val="none"/>
              </w:rPr>
            </w:pPr>
            <w:r>
              <w:rPr>
                <w:rFonts w:hint="eastAsia" w:ascii="宋体" w:hAnsi="宋体" w:cs="宋体"/>
                <w:color w:val="auto"/>
                <w:szCs w:val="21"/>
                <w:highlight w:val="none"/>
              </w:rPr>
              <w:t>随初步设计迁改方案文件一同提交，并送电子版文件</w:t>
            </w:r>
          </w:p>
        </w:tc>
        <w:tc>
          <w:tcPr>
            <w:tcW w:w="3420" w:type="dxa"/>
            <w:vMerge w:val="continue"/>
          </w:tcPr>
          <w:p w14:paraId="200DAE19">
            <w:pPr>
              <w:rPr>
                <w:rFonts w:hint="eastAsia" w:ascii="宋体" w:hAnsi="宋体" w:cs="宋体"/>
                <w:color w:val="auto"/>
                <w:szCs w:val="21"/>
                <w:highlight w:val="none"/>
              </w:rPr>
            </w:pPr>
          </w:p>
        </w:tc>
      </w:tr>
      <w:tr w14:paraId="66CD3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60" w:hRule="atLeast"/>
          <w:jc w:val="center"/>
        </w:trPr>
        <w:tc>
          <w:tcPr>
            <w:tcW w:w="720" w:type="dxa"/>
            <w:tcBorders>
              <w:bottom w:val="single" w:color="auto" w:sz="4" w:space="0"/>
            </w:tcBorders>
            <w:vAlign w:val="center"/>
          </w:tcPr>
          <w:p w14:paraId="7B181B21">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2228" w:type="dxa"/>
            <w:tcBorders>
              <w:bottom w:val="single" w:color="auto" w:sz="4" w:space="0"/>
            </w:tcBorders>
            <w:vAlign w:val="center"/>
          </w:tcPr>
          <w:p w14:paraId="66D5C28A">
            <w:pPr>
              <w:rPr>
                <w:rFonts w:hint="eastAsia" w:ascii="宋体" w:hAnsi="宋体" w:cs="宋体"/>
                <w:color w:val="auto"/>
                <w:szCs w:val="21"/>
                <w:highlight w:val="none"/>
              </w:rPr>
            </w:pPr>
            <w:r>
              <w:rPr>
                <w:rFonts w:hint="eastAsia" w:ascii="宋体" w:hAnsi="宋体" w:cs="宋体"/>
                <w:color w:val="auto"/>
                <w:szCs w:val="21"/>
                <w:highlight w:val="none"/>
              </w:rPr>
              <w:t>施工图设计文件</w:t>
            </w:r>
          </w:p>
        </w:tc>
        <w:tc>
          <w:tcPr>
            <w:tcW w:w="1234" w:type="dxa"/>
            <w:tcBorders>
              <w:bottom w:val="single" w:color="auto" w:sz="4" w:space="0"/>
            </w:tcBorders>
            <w:vAlign w:val="center"/>
          </w:tcPr>
          <w:p w14:paraId="31950439">
            <w:pPr>
              <w:rPr>
                <w:rFonts w:hint="eastAsia" w:ascii="宋体" w:hAnsi="宋体" w:cs="宋体"/>
                <w:color w:val="auto"/>
                <w:szCs w:val="21"/>
                <w:highlight w:val="none"/>
              </w:rPr>
            </w:pPr>
            <w:r>
              <w:rPr>
                <w:rFonts w:hint="eastAsia" w:ascii="宋体" w:hAnsi="宋体" w:cs="宋体"/>
                <w:color w:val="auto"/>
                <w:szCs w:val="21"/>
                <w:highlight w:val="none"/>
              </w:rPr>
              <w:t>20</w:t>
            </w:r>
          </w:p>
        </w:tc>
        <w:tc>
          <w:tcPr>
            <w:tcW w:w="1578" w:type="dxa"/>
            <w:tcBorders>
              <w:bottom w:val="single" w:color="auto" w:sz="4" w:space="0"/>
            </w:tcBorders>
            <w:vAlign w:val="center"/>
          </w:tcPr>
          <w:p w14:paraId="3CCFBB40">
            <w:pPr>
              <w:rPr>
                <w:rFonts w:hint="eastAsia" w:ascii="宋体" w:hAnsi="宋体" w:cs="宋体"/>
                <w:color w:val="auto"/>
                <w:szCs w:val="21"/>
                <w:highlight w:val="none"/>
              </w:rPr>
            </w:pPr>
            <w:r>
              <w:rPr>
                <w:rFonts w:hint="eastAsia" w:ascii="宋体" w:hAnsi="宋体" w:cs="宋体"/>
                <w:color w:val="auto"/>
                <w:szCs w:val="21"/>
                <w:highlight w:val="none"/>
              </w:rPr>
              <w:t>自收到管线迁改任务书或工作联系单，10日内完成指定范围的施工图设计</w:t>
            </w:r>
          </w:p>
        </w:tc>
        <w:tc>
          <w:tcPr>
            <w:tcW w:w="3420" w:type="dxa"/>
            <w:vMerge w:val="continue"/>
          </w:tcPr>
          <w:p w14:paraId="084F571A">
            <w:pPr>
              <w:rPr>
                <w:rFonts w:hint="eastAsia" w:ascii="宋体" w:hAnsi="宋体" w:cs="宋体"/>
                <w:color w:val="auto"/>
                <w:szCs w:val="21"/>
                <w:highlight w:val="none"/>
              </w:rPr>
            </w:pPr>
          </w:p>
        </w:tc>
      </w:tr>
      <w:tr w14:paraId="1246D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490" w:hRule="atLeast"/>
          <w:jc w:val="center"/>
        </w:trPr>
        <w:tc>
          <w:tcPr>
            <w:tcW w:w="720" w:type="dxa"/>
            <w:tcBorders>
              <w:bottom w:val="single" w:color="auto" w:sz="4" w:space="0"/>
            </w:tcBorders>
            <w:vAlign w:val="center"/>
          </w:tcPr>
          <w:p w14:paraId="693F570D">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2228" w:type="dxa"/>
            <w:tcBorders>
              <w:bottom w:val="single" w:color="auto" w:sz="4" w:space="0"/>
            </w:tcBorders>
            <w:vAlign w:val="center"/>
          </w:tcPr>
          <w:p w14:paraId="3DFB7BB8">
            <w:pPr>
              <w:rPr>
                <w:rFonts w:hint="eastAsia" w:ascii="宋体" w:hAnsi="宋体" w:cs="宋体"/>
                <w:color w:val="auto"/>
                <w:szCs w:val="21"/>
                <w:highlight w:val="none"/>
              </w:rPr>
            </w:pPr>
            <w:r>
              <w:rPr>
                <w:rFonts w:hint="eastAsia" w:ascii="宋体" w:hAnsi="宋体" w:cs="宋体"/>
                <w:color w:val="auto"/>
                <w:szCs w:val="21"/>
                <w:highlight w:val="none"/>
              </w:rPr>
              <w:t>预算书</w:t>
            </w:r>
          </w:p>
        </w:tc>
        <w:tc>
          <w:tcPr>
            <w:tcW w:w="1234" w:type="dxa"/>
            <w:tcBorders>
              <w:bottom w:val="single" w:color="auto" w:sz="4" w:space="0"/>
            </w:tcBorders>
            <w:vAlign w:val="center"/>
          </w:tcPr>
          <w:p w14:paraId="73C60E31">
            <w:pPr>
              <w:rPr>
                <w:rFonts w:hint="eastAsia" w:ascii="宋体" w:hAnsi="宋体" w:cs="宋体"/>
                <w:color w:val="auto"/>
                <w:szCs w:val="21"/>
                <w:highlight w:val="none"/>
              </w:rPr>
            </w:pPr>
            <w:r>
              <w:rPr>
                <w:rFonts w:hint="eastAsia" w:ascii="宋体" w:hAnsi="宋体" w:cs="宋体"/>
                <w:color w:val="auto"/>
                <w:szCs w:val="21"/>
                <w:highlight w:val="none"/>
              </w:rPr>
              <w:t>20（刻录光盘）</w:t>
            </w:r>
          </w:p>
        </w:tc>
        <w:tc>
          <w:tcPr>
            <w:tcW w:w="1578" w:type="dxa"/>
            <w:tcBorders>
              <w:bottom w:val="single" w:color="auto" w:sz="4" w:space="0"/>
            </w:tcBorders>
            <w:vAlign w:val="center"/>
          </w:tcPr>
          <w:p w14:paraId="101B7187">
            <w:pPr>
              <w:rPr>
                <w:rFonts w:hint="eastAsia" w:ascii="宋体" w:hAnsi="宋体" w:cs="宋体"/>
                <w:color w:val="auto"/>
                <w:szCs w:val="21"/>
                <w:highlight w:val="none"/>
              </w:rPr>
            </w:pPr>
            <w:r>
              <w:rPr>
                <w:rFonts w:hint="eastAsia" w:ascii="宋体" w:hAnsi="宋体" w:cs="宋体"/>
                <w:color w:val="auto"/>
                <w:szCs w:val="21"/>
                <w:highlight w:val="none"/>
              </w:rPr>
              <w:t>随施工图设计文件一起提交</w:t>
            </w:r>
          </w:p>
        </w:tc>
        <w:tc>
          <w:tcPr>
            <w:tcW w:w="3420" w:type="dxa"/>
            <w:vMerge w:val="continue"/>
          </w:tcPr>
          <w:p w14:paraId="07DF081C">
            <w:pPr>
              <w:rPr>
                <w:rFonts w:hint="eastAsia" w:ascii="宋体" w:hAnsi="宋体" w:cs="宋体"/>
                <w:color w:val="auto"/>
                <w:szCs w:val="21"/>
                <w:highlight w:val="none"/>
              </w:rPr>
            </w:pPr>
          </w:p>
        </w:tc>
      </w:tr>
      <w:tr w14:paraId="493F7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6" w:hRule="atLeast"/>
          <w:jc w:val="center"/>
        </w:trPr>
        <w:tc>
          <w:tcPr>
            <w:tcW w:w="720" w:type="dxa"/>
            <w:tcBorders>
              <w:top w:val="single" w:color="auto" w:sz="4" w:space="0"/>
            </w:tcBorders>
          </w:tcPr>
          <w:p w14:paraId="4309B6EE">
            <w:pP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8460" w:type="dxa"/>
            <w:gridSpan w:val="4"/>
            <w:tcBorders>
              <w:top w:val="single" w:color="auto" w:sz="4" w:space="0"/>
            </w:tcBorders>
          </w:tcPr>
          <w:p w14:paraId="66BBAF43">
            <w:pPr>
              <w:rPr>
                <w:rFonts w:hint="eastAsia" w:ascii="宋体" w:hAnsi="宋体" w:cs="宋体"/>
                <w:color w:val="auto"/>
                <w:szCs w:val="21"/>
                <w:highlight w:val="none"/>
              </w:rPr>
            </w:pPr>
            <w:r>
              <w:rPr>
                <w:rFonts w:hint="eastAsia" w:ascii="宋体" w:hAnsi="宋体" w:cs="宋体"/>
                <w:color w:val="auto"/>
                <w:szCs w:val="21"/>
                <w:highlight w:val="none"/>
              </w:rPr>
              <w:t>项目电子图纸、图片及文字资料所有权归甲方，乙方不得对所提交电子文件设置加密锁、只读格式、附带专项软件启动条件，以及甲方认为不合理的限制格式</w:t>
            </w:r>
          </w:p>
        </w:tc>
      </w:tr>
    </w:tbl>
    <w:p w14:paraId="2402636B">
      <w:pPr>
        <w:spacing w:line="360" w:lineRule="auto"/>
        <w:rPr>
          <w:rFonts w:hint="eastAsia" w:ascii="宋体" w:hAnsi="宋体" w:cs="宋体"/>
          <w:b/>
          <w:bCs/>
          <w:color w:val="auto"/>
          <w:sz w:val="24"/>
          <w:highlight w:val="none"/>
        </w:rPr>
      </w:pPr>
    </w:p>
    <w:p w14:paraId="0AACC230">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第六条　勘察设计服务费用</w:t>
      </w:r>
    </w:p>
    <w:p w14:paraId="20A2556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6.1本工程勘察设计费按本合同约定的计费方式执行。本项目勘察费合同暂定价为（大写）人民币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sz w:val="24"/>
          <w:highlight w:val="none"/>
          <w:u w:val="singl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元）；设计费合同暂定价为（大写）人民币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sz w:val="24"/>
          <w:highlight w:val="none"/>
          <w:u w:val="singl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元），该金额已含税，增值税税率为</w:t>
      </w:r>
      <w:r>
        <w:rPr>
          <w:rFonts w:hint="eastAsia" w:ascii="宋体" w:hAnsi="宋体" w:cs="宋体"/>
          <w:color w:val="auto"/>
          <w:kern w:val="0"/>
          <w:sz w:val="24"/>
          <w:highlight w:val="none"/>
          <w:u w:val="single"/>
        </w:rPr>
        <w:t xml:space="preserve"> 6 </w:t>
      </w:r>
      <w:r>
        <w:rPr>
          <w:rFonts w:hint="eastAsia" w:ascii="宋体" w:hAnsi="宋体" w:cs="宋体"/>
          <w:color w:val="auto"/>
          <w:kern w:val="0"/>
          <w:sz w:val="24"/>
          <w:highlight w:val="none"/>
        </w:rPr>
        <w:t>%，合同期内如遇国家调整增值税税率，则按本合同未执行完的不含税价和调整后的增值税税率结算价款，不含税价=含税价÷（1+原增值税税率）。</w:t>
      </w:r>
    </w:p>
    <w:p w14:paraId="0EB2F91B">
      <w:pPr>
        <w:pStyle w:val="196"/>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6.2勘察设计费是指乙方执行和完成本合同规定全部勘察设计服务工作的报酬，指合同期间乙方提供勘察设计服务所发生的开办费、企业管理费、临时设施费、利润和税金等一切服务费用，除按本合同约定的结算规定调整外，不因人工、物价等因素的变动而有所调整。勘察设计服务费包括但不限于：工作人员工资、基本养老保险费、基本医疗保险费、失业保险费，办公费、差旅交通费、劳动保护费、工具用具使用费、固定资产使用费、零星购置费、技术图书资料费、印花税（乙方部分）、利润、规费、税金和其他管理性质开支。除按本合同确约的结算办法办理结算外，出现任何原因引起的工期延长、驻场乙方员增加、工作日及节假日加班赶工、停工等情形时，勘察设计费用均不再调整。</w:t>
      </w:r>
    </w:p>
    <w:p w14:paraId="030B4C7D">
      <w:pPr>
        <w:numPr>
          <w:ilvl w:val="0"/>
          <w:numId w:val="1"/>
        </w:num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支付方式</w:t>
      </w:r>
    </w:p>
    <w:p w14:paraId="63821C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 预付款</w:t>
      </w:r>
    </w:p>
    <w:p w14:paraId="118919E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7.1.1勘察设计费预付款</w:t>
      </w:r>
    </w:p>
    <w:p w14:paraId="53B291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本合同签订后，乙方根据建设需要，深化施工图，编制施工图预算，经甲方及项目业主审核后，可根据支付合同支付30%预付款，并根据进度</w:t>
      </w:r>
      <w:r>
        <w:rPr>
          <w:rFonts w:hint="eastAsia" w:ascii="宋体" w:hAnsi="宋体" w:cs="宋体"/>
          <w:color w:val="auto"/>
          <w:sz w:val="24"/>
          <w:szCs w:val="24"/>
          <w:highlight w:val="none"/>
        </w:rPr>
        <w:t>按双方支付合同金额的80%控制支付</w:t>
      </w:r>
      <w:r>
        <w:rPr>
          <w:rFonts w:hint="eastAsia" w:ascii="宋体" w:hAnsi="宋体" w:cs="宋体"/>
          <w:color w:val="auto"/>
          <w:sz w:val="24"/>
          <w:highlight w:val="none"/>
        </w:rPr>
        <w:t>。</w:t>
      </w:r>
    </w:p>
    <w:p w14:paraId="048591C8">
      <w:pPr>
        <w:pStyle w:val="2"/>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7.3进度款的支付</w:t>
      </w:r>
    </w:p>
    <w:p w14:paraId="13365F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7.3.1勘察设计费的支付</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4"/>
        <w:gridCol w:w="2162"/>
        <w:gridCol w:w="5026"/>
      </w:tblGrid>
      <w:tr w14:paraId="60BAA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14:paraId="28061384">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阶段</w:t>
            </w:r>
          </w:p>
        </w:tc>
        <w:tc>
          <w:tcPr>
            <w:tcW w:w="2156" w:type="dxa"/>
            <w:tcBorders>
              <w:top w:val="single" w:color="auto" w:sz="4" w:space="0"/>
              <w:left w:val="single" w:color="auto" w:sz="4" w:space="0"/>
              <w:bottom w:val="single" w:color="auto" w:sz="4" w:space="0"/>
              <w:right w:val="single" w:color="auto" w:sz="4" w:space="0"/>
            </w:tcBorders>
            <w:vAlign w:val="center"/>
          </w:tcPr>
          <w:p w14:paraId="0C2772D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勘察设计费比例（%）</w:t>
            </w:r>
          </w:p>
        </w:tc>
        <w:tc>
          <w:tcPr>
            <w:tcW w:w="5019" w:type="dxa"/>
            <w:tcBorders>
              <w:top w:val="single" w:color="auto" w:sz="4" w:space="0"/>
              <w:left w:val="single" w:color="auto" w:sz="4" w:space="0"/>
              <w:bottom w:val="single" w:color="auto" w:sz="4" w:space="0"/>
              <w:right w:val="single" w:color="auto" w:sz="4" w:space="0"/>
            </w:tcBorders>
            <w:vAlign w:val="center"/>
          </w:tcPr>
          <w:p w14:paraId="606D6B4F">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付费条件及时间</w:t>
            </w:r>
          </w:p>
        </w:tc>
      </w:tr>
      <w:tr w14:paraId="71912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14:paraId="72CAB427">
            <w:pPr>
              <w:rPr>
                <w:rFonts w:hint="eastAsia" w:ascii="宋体" w:hAnsi="宋体" w:cs="宋体"/>
                <w:color w:val="auto"/>
                <w:szCs w:val="21"/>
                <w:highlight w:val="none"/>
              </w:rPr>
            </w:pPr>
            <w:r>
              <w:rPr>
                <w:rFonts w:hint="eastAsia" w:ascii="宋体" w:hAnsi="宋体" w:cs="宋体"/>
                <w:color w:val="auto"/>
                <w:szCs w:val="21"/>
                <w:highlight w:val="none"/>
              </w:rPr>
              <w:t>第一次付款</w:t>
            </w:r>
          </w:p>
        </w:tc>
        <w:tc>
          <w:tcPr>
            <w:tcW w:w="2156" w:type="dxa"/>
            <w:tcBorders>
              <w:top w:val="single" w:color="auto" w:sz="4" w:space="0"/>
              <w:left w:val="single" w:color="auto" w:sz="4" w:space="0"/>
              <w:bottom w:val="single" w:color="auto" w:sz="4" w:space="0"/>
              <w:right w:val="single" w:color="auto" w:sz="4" w:space="0"/>
            </w:tcBorders>
            <w:vAlign w:val="center"/>
          </w:tcPr>
          <w:p w14:paraId="656E2A50">
            <w:pPr>
              <w:rPr>
                <w:rFonts w:hint="eastAsia" w:ascii="宋体" w:hAnsi="宋体" w:cs="宋体"/>
                <w:color w:val="auto"/>
                <w:szCs w:val="21"/>
                <w:highlight w:val="none"/>
              </w:rPr>
            </w:pPr>
            <w:r>
              <w:rPr>
                <w:rFonts w:hint="eastAsia" w:ascii="宋体" w:hAnsi="宋体" w:cs="宋体"/>
                <w:color w:val="auto"/>
                <w:szCs w:val="21"/>
                <w:highlight w:val="none"/>
              </w:rPr>
              <w:t>支付合同签订后：30％：</w:t>
            </w:r>
          </w:p>
        </w:tc>
        <w:tc>
          <w:tcPr>
            <w:tcW w:w="5019" w:type="dxa"/>
            <w:tcBorders>
              <w:top w:val="single" w:color="auto" w:sz="4" w:space="0"/>
              <w:left w:val="single" w:color="auto" w:sz="4" w:space="0"/>
              <w:bottom w:val="single" w:color="auto" w:sz="4" w:space="0"/>
              <w:right w:val="single" w:color="auto" w:sz="4" w:space="0"/>
            </w:tcBorders>
            <w:vAlign w:val="center"/>
          </w:tcPr>
          <w:p w14:paraId="4E5A1980">
            <w:pPr>
              <w:rPr>
                <w:rFonts w:hint="eastAsia" w:ascii="宋体" w:hAnsi="宋体" w:cs="宋体"/>
                <w:color w:val="auto"/>
                <w:szCs w:val="21"/>
                <w:highlight w:val="none"/>
              </w:rPr>
            </w:pPr>
            <w:r>
              <w:rPr>
                <w:rFonts w:hint="eastAsia" w:ascii="宋体" w:hAnsi="宋体" w:cs="宋体"/>
                <w:b/>
                <w:bCs/>
                <w:color w:val="auto"/>
                <w:szCs w:val="21"/>
                <w:highlight w:val="none"/>
              </w:rPr>
              <w:t>本合同签订生效且甲方发出工作指令后，</w:t>
            </w:r>
            <w:r>
              <w:rPr>
                <w:rFonts w:hint="eastAsia" w:ascii="宋体" w:hAnsi="宋体" w:cs="宋体"/>
                <w:color w:val="auto"/>
                <w:szCs w:val="21"/>
                <w:highlight w:val="none"/>
              </w:rPr>
              <w:t>乙方按合同要求提供申请支付文件资料，签订支付合同后，审核合格后30 个工作日内。</w:t>
            </w:r>
          </w:p>
        </w:tc>
      </w:tr>
      <w:tr w14:paraId="56892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14:paraId="6880F45E">
            <w:pPr>
              <w:rPr>
                <w:rFonts w:hint="eastAsia" w:ascii="宋体" w:hAnsi="宋体" w:cs="宋体"/>
                <w:color w:val="auto"/>
                <w:szCs w:val="21"/>
                <w:highlight w:val="none"/>
              </w:rPr>
            </w:pPr>
            <w:r>
              <w:rPr>
                <w:rFonts w:hint="eastAsia" w:ascii="宋体" w:hAnsi="宋体" w:cs="宋体"/>
                <w:color w:val="auto"/>
                <w:szCs w:val="21"/>
                <w:highlight w:val="none"/>
              </w:rPr>
              <w:t>第二次付款</w:t>
            </w:r>
          </w:p>
        </w:tc>
        <w:tc>
          <w:tcPr>
            <w:tcW w:w="2156" w:type="dxa"/>
            <w:tcBorders>
              <w:top w:val="single" w:color="auto" w:sz="4" w:space="0"/>
              <w:left w:val="single" w:color="auto" w:sz="4" w:space="0"/>
              <w:bottom w:val="single" w:color="auto" w:sz="4" w:space="0"/>
              <w:right w:val="single" w:color="auto" w:sz="4" w:space="0"/>
            </w:tcBorders>
            <w:vAlign w:val="center"/>
          </w:tcPr>
          <w:p w14:paraId="362BB1CF">
            <w:pPr>
              <w:rPr>
                <w:rFonts w:hint="eastAsia" w:ascii="宋体" w:hAnsi="宋体" w:cs="宋体"/>
                <w:color w:val="auto"/>
                <w:szCs w:val="21"/>
                <w:highlight w:val="none"/>
              </w:rPr>
            </w:pPr>
            <w:r>
              <w:rPr>
                <w:rFonts w:hint="eastAsia" w:ascii="宋体" w:hAnsi="宋体" w:cs="宋体"/>
                <w:b/>
                <w:bCs/>
                <w:color w:val="auto"/>
                <w:szCs w:val="21"/>
                <w:highlight w:val="none"/>
              </w:rPr>
              <w:t>交付该期全部施工图文件和施工图预算并通过甲方审查确认</w:t>
            </w:r>
            <w:r>
              <w:rPr>
                <w:rFonts w:hint="eastAsia" w:ascii="宋体" w:hAnsi="宋体" w:cs="宋体"/>
                <w:color w:val="auto"/>
                <w:szCs w:val="21"/>
                <w:highlight w:val="none"/>
              </w:rPr>
              <w:t>：90％</w:t>
            </w:r>
          </w:p>
        </w:tc>
        <w:tc>
          <w:tcPr>
            <w:tcW w:w="5019" w:type="dxa"/>
            <w:tcBorders>
              <w:top w:val="single" w:color="auto" w:sz="4" w:space="0"/>
              <w:left w:val="single" w:color="auto" w:sz="4" w:space="0"/>
              <w:bottom w:val="single" w:color="auto" w:sz="4" w:space="0"/>
              <w:right w:val="single" w:color="auto" w:sz="4" w:space="0"/>
            </w:tcBorders>
            <w:vAlign w:val="center"/>
          </w:tcPr>
          <w:p w14:paraId="45512F1C">
            <w:pPr>
              <w:rPr>
                <w:rFonts w:hint="eastAsia" w:ascii="宋体" w:hAnsi="宋体" w:cs="宋体"/>
                <w:color w:val="auto"/>
                <w:szCs w:val="21"/>
                <w:highlight w:val="none"/>
              </w:rPr>
            </w:pPr>
            <w:r>
              <w:rPr>
                <w:rFonts w:hint="eastAsia" w:ascii="宋体" w:hAnsi="宋体" w:cs="宋体"/>
                <w:b/>
                <w:bCs/>
                <w:color w:val="auto"/>
                <w:szCs w:val="21"/>
                <w:highlight w:val="none"/>
              </w:rPr>
              <w:t>交付该期全部施工图文件和施工图预算并通过甲方审查确认</w:t>
            </w:r>
            <w:r>
              <w:rPr>
                <w:rFonts w:hint="eastAsia" w:ascii="宋体" w:hAnsi="宋体" w:cs="宋体"/>
                <w:color w:val="auto"/>
                <w:szCs w:val="21"/>
                <w:highlight w:val="none"/>
              </w:rPr>
              <w:t>，此阶段按施工图实际完成进度分批支付，每次支付均需递交相应专业施工图文件并通过审查，按合同要求提供申请支付文件资料，报甲方审核合格无误后30个工作日内</w:t>
            </w:r>
          </w:p>
        </w:tc>
      </w:tr>
      <w:tr w14:paraId="3705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14:paraId="66D0783E">
            <w:pPr>
              <w:rPr>
                <w:rFonts w:hint="eastAsia" w:ascii="宋体" w:hAnsi="宋体" w:cs="宋体"/>
                <w:color w:val="auto"/>
                <w:szCs w:val="21"/>
                <w:highlight w:val="none"/>
              </w:rPr>
            </w:pPr>
            <w:r>
              <w:rPr>
                <w:rFonts w:hint="eastAsia" w:ascii="宋体" w:hAnsi="宋体" w:cs="宋体"/>
                <w:color w:val="auto"/>
                <w:szCs w:val="21"/>
                <w:highlight w:val="none"/>
              </w:rPr>
              <w:t>第三次付款</w:t>
            </w:r>
          </w:p>
        </w:tc>
        <w:tc>
          <w:tcPr>
            <w:tcW w:w="2156" w:type="dxa"/>
            <w:tcBorders>
              <w:top w:val="single" w:color="auto" w:sz="4" w:space="0"/>
              <w:left w:val="single" w:color="auto" w:sz="4" w:space="0"/>
              <w:bottom w:val="single" w:color="auto" w:sz="4" w:space="0"/>
              <w:right w:val="single" w:color="auto" w:sz="4" w:space="0"/>
            </w:tcBorders>
            <w:vAlign w:val="center"/>
          </w:tcPr>
          <w:p w14:paraId="66A1C01B">
            <w:pPr>
              <w:rPr>
                <w:rFonts w:hint="eastAsia" w:ascii="宋体" w:hAnsi="宋体" w:cs="宋体"/>
                <w:color w:val="auto"/>
                <w:szCs w:val="21"/>
                <w:highlight w:val="none"/>
              </w:rPr>
            </w:pPr>
            <w:r>
              <w:rPr>
                <w:rFonts w:hint="eastAsia" w:ascii="宋体" w:hAnsi="宋体" w:cs="宋体"/>
                <w:b/>
                <w:bCs/>
                <w:color w:val="auto"/>
                <w:szCs w:val="21"/>
                <w:highlight w:val="none"/>
              </w:rPr>
              <w:t>在工程竣工验收后，甲方档案管理部门确认该项目的勘察设计文件、结算档案等各类项目档案都移交归档并合同结算后：</w:t>
            </w:r>
            <w:r>
              <w:rPr>
                <w:rFonts w:hint="eastAsia" w:ascii="宋体" w:hAnsi="宋体" w:cs="宋体"/>
                <w:color w:val="auto"/>
                <w:szCs w:val="21"/>
                <w:highlight w:val="none"/>
              </w:rPr>
              <w:t>按审定工程结算金额支付结算尾款</w:t>
            </w:r>
          </w:p>
        </w:tc>
        <w:tc>
          <w:tcPr>
            <w:tcW w:w="5019" w:type="dxa"/>
            <w:tcBorders>
              <w:top w:val="single" w:color="auto" w:sz="4" w:space="0"/>
              <w:left w:val="single" w:color="auto" w:sz="4" w:space="0"/>
              <w:bottom w:val="single" w:color="auto" w:sz="4" w:space="0"/>
              <w:right w:val="single" w:color="auto" w:sz="4" w:space="0"/>
            </w:tcBorders>
            <w:vAlign w:val="center"/>
          </w:tcPr>
          <w:p w14:paraId="6653C6FD">
            <w:pPr>
              <w:rPr>
                <w:rFonts w:hint="eastAsia" w:ascii="宋体" w:hAnsi="宋体" w:cs="宋体"/>
                <w:color w:val="auto"/>
                <w:szCs w:val="21"/>
                <w:highlight w:val="none"/>
              </w:rPr>
            </w:pPr>
            <w:r>
              <w:rPr>
                <w:rFonts w:hint="eastAsia" w:ascii="宋体" w:hAnsi="宋体" w:cs="宋体"/>
                <w:color w:val="auto"/>
                <w:szCs w:val="21"/>
                <w:highlight w:val="none"/>
              </w:rPr>
              <w:t>在工程竣工验收后，甲方档案管理部门确认该项目的勘察设计文件、结算档案等各类项目档案都移交归档后，按合同要求提供申请支付文件资料，经甲方审核签认，报甲方审核合格无误，待结算终审部门评审同意后30个工作日内</w:t>
            </w:r>
          </w:p>
        </w:tc>
      </w:tr>
    </w:tbl>
    <w:p w14:paraId="740D3B8D">
      <w:pPr>
        <w:spacing w:line="360" w:lineRule="auto"/>
        <w:ind w:firstLine="480" w:firstLineChars="200"/>
        <w:rPr>
          <w:rFonts w:hint="eastAsia" w:ascii="宋体" w:hAnsi="宋体" w:cs="宋体"/>
          <w:color w:val="auto"/>
          <w:sz w:val="24"/>
          <w:szCs w:val="24"/>
          <w:highlight w:val="none"/>
        </w:rPr>
      </w:pPr>
    </w:p>
    <w:p w14:paraId="3AB292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7.3.2工程费的支付</w:t>
      </w:r>
    </w:p>
    <w:p w14:paraId="6F9AB47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进度款支付：乙方根据工程形象进度，并根据所属地块审核金额签订的支付合同，报甲方审核确定后支付。若进度款累计已付至合同价的85%后停止支付。</w:t>
      </w:r>
    </w:p>
    <w:p w14:paraId="1D0B64E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结算尾款支付：按审定工程结算金额并签定结算补充协议后1个月内，支付结算尾款。</w:t>
      </w:r>
    </w:p>
    <w:p w14:paraId="592B84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7.3.3收款帐号</w:t>
      </w:r>
    </w:p>
    <w:p w14:paraId="7576E50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工程款由联合体成员各自向付款方开具发票后，由付款方汇入各自帐号：</w:t>
      </w:r>
    </w:p>
    <w:p w14:paraId="6D3C4D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账户全称： </w:t>
      </w:r>
      <w:r>
        <w:rPr>
          <w:rFonts w:hint="eastAsia" w:ascii="宋体" w:hAnsi="宋体" w:cs="宋体"/>
          <w:color w:val="auto"/>
          <w:sz w:val="24"/>
          <w:szCs w:val="24"/>
          <w:highlight w:val="none"/>
          <w:u w:val="single"/>
        </w:rPr>
        <w:t xml:space="preserve">      </w:t>
      </w:r>
    </w:p>
    <w:p w14:paraId="3D6B794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p>
    <w:p w14:paraId="5F1825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帐号：</w:t>
      </w:r>
      <w:r>
        <w:rPr>
          <w:rFonts w:hint="eastAsia" w:ascii="宋体" w:hAnsi="宋体" w:cs="宋体"/>
          <w:color w:val="auto"/>
          <w:sz w:val="24"/>
          <w:szCs w:val="24"/>
          <w:highlight w:val="none"/>
          <w:u w:val="single"/>
        </w:rPr>
        <w:t xml:space="preserve">        </w:t>
      </w:r>
    </w:p>
    <w:p w14:paraId="3C6D473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7.3.4发票</w:t>
      </w:r>
    </w:p>
    <w:p w14:paraId="4751C4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7.3.4.1联合体各方须开具等额的增值税专用发票,且增值税专用发票的”购买方信息”须填写本项目建设单位。</w:t>
      </w:r>
    </w:p>
    <w:p w14:paraId="0A44DE8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7.3.4.2乙方应在支付方支付定金或预付款、进度款及尾款款</w:t>
      </w:r>
      <w:r>
        <w:rPr>
          <w:rFonts w:hint="eastAsia" w:ascii="宋体" w:hAnsi="宋体" w:cs="宋体"/>
          <w:b/>
          <w:bCs/>
          <w:color w:val="auto"/>
          <w:sz w:val="24"/>
          <w:szCs w:val="24"/>
          <w:highlight w:val="none"/>
        </w:rPr>
        <w:t>前</w:t>
      </w:r>
      <w:r>
        <w:rPr>
          <w:rFonts w:hint="eastAsia" w:ascii="宋体" w:hAnsi="宋体" w:cs="宋体"/>
          <w:b/>
          <w:bCs/>
          <w:color w:val="auto"/>
          <w:sz w:val="24"/>
          <w:szCs w:val="24"/>
          <w:highlight w:val="none"/>
          <w:u w:val="single"/>
        </w:rPr>
        <w:t xml:space="preserve"> 5 </w:t>
      </w:r>
      <w:r>
        <w:rPr>
          <w:rFonts w:hint="eastAsia" w:ascii="宋体" w:hAnsi="宋体" w:cs="宋体"/>
          <w:b/>
          <w:bCs/>
          <w:color w:val="auto"/>
          <w:sz w:val="24"/>
          <w:szCs w:val="24"/>
          <w:highlight w:val="none"/>
        </w:rPr>
        <w:t>日</w:t>
      </w:r>
      <w:r>
        <w:rPr>
          <w:rFonts w:hint="eastAsia" w:ascii="宋体" w:hAnsi="宋体" w:cs="宋体"/>
          <w:color w:val="auto"/>
          <w:sz w:val="24"/>
          <w:szCs w:val="24"/>
          <w:highlight w:val="none"/>
        </w:rPr>
        <w:t>开具等额的增值税专用发票，增值税专用发票上注明的银行账户应与本合同提供的相同，否则支付方有权迟延支付相应价款，乙方因此造成的损失由其自行承担。</w:t>
      </w:r>
    </w:p>
    <w:p w14:paraId="5E09EA5D">
      <w:pPr>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highlight w:val="none"/>
        </w:rPr>
        <w:t>第八条　勘察设计费结算条款</w:t>
      </w:r>
    </w:p>
    <w:p w14:paraId="3D70E6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勘察设计费=勘察设计服务收费基价×专业调整系数×工程复杂程度调整系数×改扩建附加调整系数×（1-中标下浮率）。除非本合同另有明确约定，出现任何原因引起的监理工期延长、驻场乙方员增加、工作日及节假日加班赶工、停工等情形费用均不再调整。</w:t>
      </w:r>
    </w:p>
    <w:p w14:paraId="2F59BB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8.2勘察设计服务收费基价按《工程勘察设计收费标准2002年修订本》（国家计委与建设部核发）规定计算，其中的建安工程费金额按</w:t>
      </w:r>
      <w:r>
        <w:rPr>
          <w:rFonts w:hint="eastAsia" w:ascii="宋体" w:hAnsi="宋体" w:cs="宋体"/>
          <w:color w:val="auto"/>
          <w:kern w:val="0"/>
          <w:sz w:val="24"/>
          <w:highlight w:val="none"/>
          <w:u w:val="single"/>
        </w:rPr>
        <w:t>财政部门</w:t>
      </w:r>
      <w:r>
        <w:rPr>
          <w:rFonts w:hint="eastAsia" w:ascii="宋体" w:hAnsi="宋体" w:cs="宋体"/>
          <w:color w:val="auto"/>
          <w:sz w:val="24"/>
          <w:highlight w:val="none"/>
        </w:rPr>
        <w:t>委托的第三方造价咨询单位审核确认的本工程建安工程结算价计取。</w:t>
      </w:r>
    </w:p>
    <w:p w14:paraId="207E87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8.3专业调整系数为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，工程复杂程度调整系数为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，改扩建附加调整系数为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248F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8.4</w:t>
      </w:r>
      <w:r>
        <w:rPr>
          <w:rFonts w:hint="eastAsia" w:ascii="宋体" w:hAnsi="宋体" w:cs="宋体"/>
          <w:color w:val="auto"/>
          <w:kern w:val="0"/>
          <w:sz w:val="24"/>
          <w:highlight w:val="none"/>
        </w:rPr>
        <w:t>中标下浮率为</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w:t>
      </w:r>
    </w:p>
    <w:p w14:paraId="62AAFE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8.5 勘察设计费结算按照上述条款计算，如计算结果金额大于或等于</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元时，按</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元结算，如计算结果金额少于</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元则按该计算结果金额结算。</w:t>
      </w:r>
    </w:p>
    <w:p w14:paraId="54DF5CFB">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第九条　各方责任</w:t>
      </w:r>
    </w:p>
    <w:p w14:paraId="17FEE34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9.1甲方责任：</w:t>
      </w:r>
    </w:p>
    <w:p w14:paraId="2860CE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9.1.1按本合同约定向乙方提供因勘察设计工作需要的资料。</w:t>
      </w:r>
    </w:p>
    <w:p w14:paraId="24DD78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9.1.2按合同的相关条款审批乙方支付勘察设计费申请，向</w:t>
      </w:r>
      <w:r>
        <w:rPr>
          <w:rFonts w:hint="eastAsia" w:ascii="宋体" w:hAnsi="宋体" w:cs="宋体"/>
          <w:color w:val="auto"/>
          <w:kern w:val="0"/>
          <w:sz w:val="24"/>
          <w:highlight w:val="none"/>
          <w:u w:val="single"/>
        </w:rPr>
        <w:t>建设业主</w:t>
      </w:r>
      <w:r>
        <w:rPr>
          <w:rFonts w:hint="eastAsia" w:ascii="宋体" w:hAnsi="宋体" w:cs="宋体"/>
          <w:color w:val="auto"/>
          <w:sz w:val="24"/>
          <w:highlight w:val="none"/>
        </w:rPr>
        <w:t>办理请款。</w:t>
      </w:r>
    </w:p>
    <w:p w14:paraId="5F5B4B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9.1.3甲方按本合同第五条规定的内容，在规定的时间内向乙方提交基础资料及文件，并对其完整性、正确性及时限负责，甲方不得要求乙方违反国家有关标准进行勘察设计。</w:t>
      </w:r>
    </w:p>
    <w:p w14:paraId="4C6596B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9.1.4在合同履行期间，非因乙方违约，甲方要求解除合同，已开始勘察设计工作的，甲方应根据乙方已工作的实际量向</w:t>
      </w:r>
      <w:r>
        <w:rPr>
          <w:rFonts w:hint="eastAsia" w:ascii="宋体" w:hAnsi="宋体" w:cs="宋体"/>
          <w:color w:val="auto"/>
          <w:kern w:val="0"/>
          <w:sz w:val="24"/>
          <w:highlight w:val="none"/>
          <w:u w:val="single"/>
        </w:rPr>
        <w:t>建设业主</w:t>
      </w:r>
      <w:r>
        <w:rPr>
          <w:rFonts w:hint="eastAsia" w:ascii="宋体" w:hAnsi="宋体" w:cs="宋体"/>
          <w:color w:val="auto"/>
          <w:sz w:val="24"/>
          <w:highlight w:val="none"/>
        </w:rPr>
        <w:t>申请支付勘察设计费。</w:t>
      </w:r>
    </w:p>
    <w:p w14:paraId="705352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9.1.5本合同项目停建或缓建的，甲方按乙方实际已完成工作量按比例向</w:t>
      </w:r>
      <w:r>
        <w:rPr>
          <w:rFonts w:hint="eastAsia" w:ascii="宋体" w:hAnsi="宋体" w:cs="宋体"/>
          <w:color w:val="auto"/>
          <w:kern w:val="0"/>
          <w:sz w:val="24"/>
          <w:highlight w:val="none"/>
          <w:u w:val="single"/>
        </w:rPr>
        <w:t>建设业主</w:t>
      </w:r>
      <w:r>
        <w:rPr>
          <w:rFonts w:hint="eastAsia" w:ascii="宋体" w:hAnsi="宋体" w:cs="宋体"/>
          <w:color w:val="auto"/>
          <w:sz w:val="24"/>
          <w:highlight w:val="none"/>
        </w:rPr>
        <w:t>申请支付对应的勘察设计费，由于乙方原因导致的除外。</w:t>
      </w:r>
    </w:p>
    <w:p w14:paraId="478854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9.1.6甲方为乙方派驻现场的工作人员提供必要的协助，费用由乙方负责。</w:t>
      </w:r>
    </w:p>
    <w:p w14:paraId="5416ADA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 乙方责任：</w:t>
      </w:r>
    </w:p>
    <w:p w14:paraId="05114C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9.2.1乙方应按国家技术规范、标准、甲方勘察设计要求及中标通知书和该项目审批审查部门的批准文件开展勘察设计工作，按本合同第二篇《工程勘察设计合同条款》第五条规定的内容、时间及份数向甲方交付勘察设计文件，并对提交的勘察设计文件的质量负责，保证能取得勘察设计审批部门（包括但不限于规划、建设等行政部门的审批）的批准或审核许可。乙方应在勘察设计文件中确保满足甲方出具的本项目勘察设计任务书。否则，应当返工重作，由此造成勘察设计文件迟延交付的，甲方有权解除合同；由此造成的损失，乙方则向甲方支付相当于暂定价勘察设计费30%的违约金，并赔偿甲方由此而遭受的所有经济损失和法律责任。</w:t>
      </w:r>
    </w:p>
    <w:p w14:paraId="03B42409">
      <w:pPr>
        <w:spacing w:line="360" w:lineRule="auto"/>
        <w:ind w:firstLine="480" w:firstLineChars="200"/>
        <w:rPr>
          <w:rFonts w:hint="eastAsia" w:ascii="宋体" w:hAnsi="宋体" w:cs="宋体"/>
          <w:strike/>
          <w:color w:val="auto"/>
          <w:sz w:val="24"/>
          <w:highlight w:val="none"/>
        </w:rPr>
      </w:pPr>
      <w:r>
        <w:rPr>
          <w:rFonts w:hint="eastAsia" w:ascii="宋体" w:hAnsi="宋体" w:cs="宋体"/>
          <w:color w:val="auto"/>
          <w:sz w:val="24"/>
          <w:highlight w:val="none"/>
        </w:rPr>
        <w:t>9.2.2 乙方按甲方要求，对勘察设计文件进行调整并对出现的遗漏或错误负责修改或补充。由于勘察设计错误造成工程质量事故损失或工期延误，乙方应负责采取补救措施，免收受损失部分及采取补救措施的勘察设计费，并向甲方支付受影响部分勘察设计费的30%的赔偿金，造成第三方损失的，由乙方全额赔偿，甲方代为偿付的，有权向乙方追偿。</w:t>
      </w:r>
    </w:p>
    <w:p w14:paraId="30D725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9.2.3乙方应按照双方约定的正式书面文件或会议约定的交付时间交付勘察设计文件（包括施工过程中的勘察设计变更文件）。由于乙方原因，延期交付勘察设计文件，每延误一天的误期损害赔偿费为最终勘察设计合同价格的3‰，延误超过15天的，甲方有权单方解除本合同，误期损害赔偿费的最高限额为最终勘察设计合同价格的30%，甲方有权从应付款项中直接扣减相应的误期损害赔偿费，不足部分由乙方另行支付。</w:t>
      </w:r>
    </w:p>
    <w:p w14:paraId="48BF69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9.2.4</w:t>
      </w:r>
      <w:r>
        <w:rPr>
          <w:rFonts w:hint="eastAsia" w:ascii="宋体" w:hAnsi="宋体" w:cs="宋体"/>
          <w:color w:val="auto"/>
          <w:kern w:val="0"/>
          <w:sz w:val="24"/>
          <w:highlight w:val="none"/>
        </w:rPr>
        <w:t>各阶段勘察设计文件经评审或审查，应达到国家、省、市规定的工程勘察设计标准和工程勘察设计应有的深度要求（如</w:t>
      </w:r>
      <w:r>
        <w:rPr>
          <w:rFonts w:hint="eastAsia" w:ascii="宋体" w:hAnsi="宋体" w:cs="宋体"/>
          <w:color w:val="auto"/>
          <w:sz w:val="24"/>
          <w:highlight w:val="none"/>
        </w:rPr>
        <w:t>《市政公用工程勘察设计文件编制深度规定》（2013年版）</w:t>
      </w:r>
      <w:r>
        <w:rPr>
          <w:rFonts w:hint="eastAsia" w:ascii="宋体" w:hAnsi="宋体" w:cs="宋体"/>
          <w:color w:val="auto"/>
          <w:kern w:val="0"/>
          <w:sz w:val="24"/>
          <w:highlight w:val="none"/>
        </w:rPr>
        <w:t>等），并应是最合理、最优化的勘察设计（按通过勘察设计审查、咨询单位及政府行政主管部门或其授权单位组织的专家审核确认为标准）。否则，乙方应无条件进行修正、改进，其费用甲方不再另行计量支付。</w:t>
      </w:r>
    </w:p>
    <w:p w14:paraId="7232812B">
      <w:pPr>
        <w:pStyle w:val="19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9.2.5乙方交付合格的勘察设计文件后，按规定参加有关部门的勘察设计审查，并根据审查结论做必要修改。乙方负责施工图勘察设计交底、处理有关勘察设计问题，在施工阶段按</w:t>
      </w:r>
      <w:r>
        <w:rPr>
          <w:rFonts w:hint="eastAsia" w:hAnsi="宋体" w:cs="宋体"/>
          <w:color w:val="auto"/>
          <w:sz w:val="24"/>
          <w:highlight w:val="none"/>
        </w:rPr>
        <w:t>甲</w:t>
      </w:r>
      <w:r>
        <w:rPr>
          <w:rFonts w:hint="eastAsia" w:hAnsi="宋体" w:cs="宋体"/>
          <w:color w:val="auto"/>
          <w:sz w:val="24"/>
          <w:szCs w:val="24"/>
          <w:highlight w:val="none"/>
        </w:rPr>
        <w:t>方通知的时间完成须修改的勘察设计文件，按要求参加工程的检查验收。本项目工程开工之日起连续停工一年内的，乙方仍负责上述工作，但不补偿任何费用。</w:t>
      </w:r>
    </w:p>
    <w:p w14:paraId="169233B4">
      <w:pPr>
        <w:pStyle w:val="19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9.2.6乙方未经</w:t>
      </w:r>
      <w:r>
        <w:rPr>
          <w:rFonts w:hint="eastAsia" w:hAnsi="宋体" w:cs="宋体"/>
          <w:color w:val="auto"/>
          <w:sz w:val="24"/>
          <w:highlight w:val="none"/>
        </w:rPr>
        <w:t>甲</w:t>
      </w:r>
      <w:r>
        <w:rPr>
          <w:rFonts w:hint="eastAsia" w:hAnsi="宋体" w:cs="宋体"/>
          <w:color w:val="auto"/>
          <w:sz w:val="24"/>
          <w:szCs w:val="24"/>
          <w:highlight w:val="none"/>
        </w:rPr>
        <w:t>方书面同意私自分包或转包勘察设计任务，视为违约，甲方有权解除合同，甲方解除合同的，未付款项无需支付，已付款乙方应予退还，并支付甲方相当于暂定勘察设计费总额 30%的违约金。违约金不足以弥补甲方损失的，应予补足。</w:t>
      </w:r>
    </w:p>
    <w:p w14:paraId="01D63538">
      <w:pPr>
        <w:pStyle w:val="19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9.2.7乙方的勘察设计必须以保证质量、节约投资为原则开展工作，勘察设计文件经</w:t>
      </w:r>
      <w:r>
        <w:rPr>
          <w:rFonts w:hint="eastAsia" w:hAnsi="宋体" w:cs="宋体"/>
          <w:color w:val="auto"/>
          <w:sz w:val="24"/>
          <w:highlight w:val="none"/>
        </w:rPr>
        <w:t>甲</w:t>
      </w:r>
      <w:r>
        <w:rPr>
          <w:rFonts w:hint="eastAsia" w:hAnsi="宋体" w:cs="宋体"/>
          <w:color w:val="auto"/>
          <w:sz w:val="24"/>
          <w:szCs w:val="24"/>
          <w:highlight w:val="none"/>
        </w:rPr>
        <w:t>方审查后，乙方不得单方更改。如乙方擅自提高勘察设计标准，</w:t>
      </w:r>
      <w:r>
        <w:rPr>
          <w:rFonts w:hint="eastAsia" w:hAnsi="宋体" w:cs="宋体"/>
          <w:color w:val="auto"/>
          <w:sz w:val="24"/>
          <w:highlight w:val="none"/>
        </w:rPr>
        <w:t>甲</w:t>
      </w:r>
      <w:r>
        <w:rPr>
          <w:rFonts w:hint="eastAsia" w:hAnsi="宋体" w:cs="宋体"/>
          <w:color w:val="auto"/>
          <w:sz w:val="24"/>
          <w:szCs w:val="24"/>
          <w:highlight w:val="none"/>
        </w:rPr>
        <w:t>方可扣除本合同</w:t>
      </w:r>
      <w:r>
        <w:rPr>
          <w:rFonts w:hint="eastAsia" w:hAnsi="宋体" w:cs="宋体"/>
          <w:color w:val="auto"/>
          <w:sz w:val="24"/>
          <w:highlight w:val="none"/>
        </w:rPr>
        <w:t>暂定勘察设计费总额</w:t>
      </w:r>
      <w:r>
        <w:rPr>
          <w:rFonts w:hint="eastAsia" w:hAnsi="宋体" w:cs="宋体"/>
          <w:color w:val="auto"/>
          <w:sz w:val="24"/>
          <w:szCs w:val="24"/>
          <w:highlight w:val="none"/>
        </w:rPr>
        <w:t>5%～30%的违约金。</w:t>
      </w:r>
    </w:p>
    <w:p w14:paraId="11C45AFF">
      <w:pPr>
        <w:pStyle w:val="19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9.2.8因乙方勘察设计文件遗漏或错误造成工程费用增加，增加费用占施工合同总价5～10%的，</w:t>
      </w:r>
      <w:r>
        <w:rPr>
          <w:rFonts w:hint="eastAsia" w:hAnsi="宋体" w:cs="宋体"/>
          <w:color w:val="auto"/>
          <w:sz w:val="24"/>
          <w:highlight w:val="none"/>
        </w:rPr>
        <w:t>甲</w:t>
      </w:r>
      <w:r>
        <w:rPr>
          <w:rFonts w:hint="eastAsia" w:hAnsi="宋体" w:cs="宋体"/>
          <w:color w:val="auto"/>
          <w:sz w:val="24"/>
          <w:szCs w:val="24"/>
          <w:highlight w:val="none"/>
        </w:rPr>
        <w:t>方按照增加费用占施工合同总价的比例相应扣减勘察设计费，增加费用超过本合同暂定合同总价10%的，甲方将按照增加费用的比例双倍扣减勘察设计费。</w:t>
      </w:r>
    </w:p>
    <w:p w14:paraId="34E39E37">
      <w:pPr>
        <w:pStyle w:val="19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9.2.9 以上违约金不超过本合同勘察设计暂定合同总价30%。</w:t>
      </w:r>
    </w:p>
    <w:p w14:paraId="1B396997">
      <w:pPr>
        <w:pStyle w:val="19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9.2.10乙方应当准时参加该项目的各类协调会议。</w:t>
      </w:r>
    </w:p>
    <w:p w14:paraId="44EAD390">
      <w:pPr>
        <w:pStyle w:val="19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9.2.11按照本合同有关条款约定承担乙方应承担的责任。</w:t>
      </w:r>
    </w:p>
    <w:p w14:paraId="5346B247">
      <w:pPr>
        <w:pStyle w:val="195"/>
        <w:spacing w:line="360" w:lineRule="auto"/>
        <w:ind w:firstLine="480" w:firstLineChars="200"/>
        <w:rPr>
          <w:rFonts w:hint="eastAsia" w:hAnsi="宋体" w:cs="宋体"/>
          <w:color w:val="auto"/>
          <w:sz w:val="24"/>
          <w:szCs w:val="24"/>
          <w:highlight w:val="none"/>
        </w:rPr>
      </w:pPr>
      <w:r>
        <w:rPr>
          <w:rFonts w:hint="eastAsia" w:hAnsi="宋体" w:cs="宋体"/>
          <w:b/>
          <w:bCs/>
          <w:color w:val="auto"/>
          <w:sz w:val="24"/>
          <w:highlight w:val="none"/>
        </w:rPr>
        <w:t>第十条　其它约定事项</w:t>
      </w:r>
    </w:p>
    <w:p w14:paraId="5A3229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10.1如甲方要求，乙方应派专人驻施工现场进行配合与解决有关问题。</w:t>
      </w:r>
    </w:p>
    <w:p w14:paraId="51805F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10.2乙方为本合同项目的服务期限至缺陷通知期完成为止。</w:t>
      </w:r>
    </w:p>
    <w:p w14:paraId="44DD17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10.3由于不可抗力因素致使合同无法履行时，双方应及时协商解决。</w:t>
      </w:r>
    </w:p>
    <w:p w14:paraId="70E248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10.4乙方应按本项目投资要求开展限额勘察设计，乙方未经甲方书面同意突破投资限额进行勘察设计，乙方须无偿对勘察设计文件重新修改，交付勘察设计文件时间不予顺延。</w:t>
      </w:r>
    </w:p>
    <w:p w14:paraId="33F2EC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10.5本合同价已包含施工阶段一般性勘察设计变更、修改、补充的勘察设计费用以及配合甲方进行勘察设计报建、工程招标、施工管理等工作的费用。施工中，乙方相关专业勘察设计人员应按甲方通知到达施工现场。</w:t>
      </w:r>
    </w:p>
    <w:p w14:paraId="0963B8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10.6进入施工阶段后，因乙方原因导致工期延误，自延误之日起每日按暂定勘察设计费总额计收2%的违约金，并赔偿损失，违约金上限为5%。</w:t>
      </w:r>
    </w:p>
    <w:p w14:paraId="519F8B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10.8乙方须辅助甲方完成竣工图审查。</w:t>
      </w:r>
    </w:p>
    <w:p w14:paraId="70BB301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10.9本合同勘察设计成果的知识产权归甲方所有。</w:t>
      </w:r>
    </w:p>
    <w:p w14:paraId="5830D5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10.10双方认可的来往传真、会议纪要等，均为本合同组成部分，与本合同具有同等效力。</w:t>
      </w:r>
      <w:bookmarkStart w:id="4" w:name="_Toc287627924"/>
    </w:p>
    <w:p w14:paraId="6479504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10.11乙方应对甲方提供的文件、资料进行认真研究，对本合同工程的特点和不确定因素进行认真考虑，并提出合理建议和评价，对影响勘察设计稳定的重大问题要进行多方案比较选择。</w:t>
      </w:r>
    </w:p>
    <w:p w14:paraId="1D089F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 乙方的勘察设计成果文件应尽可能减少施工难度，为施工创造方便合理的施工条件；应尽量减少施工对城市交通、市民生活以及水利的干扰，并尽可能减少对施工工期的影响。</w:t>
      </w:r>
    </w:p>
    <w:p w14:paraId="6ED38CE8">
      <w:pPr>
        <w:pStyle w:val="189"/>
        <w:spacing w:line="360" w:lineRule="auto"/>
        <w:ind w:firstLine="480"/>
        <w:rPr>
          <w:rFonts w:hint="eastAsia" w:ascii="宋体" w:hAnsi="宋体" w:cs="宋体"/>
          <w:color w:val="auto"/>
          <w:sz w:val="24"/>
          <w:highlight w:val="none"/>
        </w:rPr>
      </w:pPr>
    </w:p>
    <w:p w14:paraId="44D194DF">
      <w:pPr>
        <w:pStyle w:val="190"/>
        <w:keepLines w:val="0"/>
        <w:pageBreakBefore/>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第三篇  工程施工合同条款</w:t>
      </w:r>
    </w:p>
    <w:p w14:paraId="038312F2">
      <w:pPr>
        <w:snapToGrid w:val="0"/>
        <w:spacing w:line="360" w:lineRule="auto"/>
        <w:rPr>
          <w:rFonts w:hint="eastAsia" w:ascii="宋体" w:hAnsi="宋体" w:cs="宋体"/>
          <w:b/>
          <w:color w:val="auto"/>
          <w:sz w:val="24"/>
          <w:szCs w:val="24"/>
          <w:highlight w:val="none"/>
        </w:rPr>
      </w:pPr>
    </w:p>
    <w:p w14:paraId="3748FAC4">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一、各方一般权利和义务</w:t>
      </w:r>
    </w:p>
    <w:p w14:paraId="05C8FD2F">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1.负责人</w:t>
      </w:r>
    </w:p>
    <w:p w14:paraId="0AA5AE9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1．1监理单位委派的负责人</w:t>
      </w:r>
    </w:p>
    <w:p w14:paraId="1127D1BE">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FA6154E">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甲方委托的职权：</w:t>
      </w:r>
      <w:r>
        <w:rPr>
          <w:rFonts w:hint="eastAsia" w:ascii="宋体" w:hAnsi="宋体" w:cs="宋体"/>
          <w:color w:val="auto"/>
          <w:sz w:val="24"/>
          <w:szCs w:val="24"/>
          <w:highlight w:val="none"/>
          <w:u w:val="single"/>
        </w:rPr>
        <w:t>对本工程进行全过程的监理</w:t>
      </w:r>
      <w:r>
        <w:rPr>
          <w:rFonts w:hint="eastAsia" w:ascii="宋体" w:hAnsi="宋体" w:cs="宋体"/>
          <w:color w:val="auto"/>
          <w:sz w:val="24"/>
          <w:szCs w:val="24"/>
          <w:highlight w:val="none"/>
        </w:rPr>
        <w:t>。</w:t>
      </w:r>
    </w:p>
    <w:p w14:paraId="618C1C6A">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需要取得甲方批准才能行使的职权：</w:t>
      </w:r>
      <w:r>
        <w:rPr>
          <w:rFonts w:hint="eastAsia" w:ascii="宋体" w:hAnsi="宋体" w:cs="宋体"/>
          <w:color w:val="auto"/>
          <w:sz w:val="24"/>
          <w:szCs w:val="24"/>
          <w:highlight w:val="none"/>
          <w:u w:val="single"/>
        </w:rPr>
        <w:t>按甲方与监理单位签订的监理合同有关规定执行，涉及变更签证或费用</w:t>
      </w:r>
      <w:r>
        <w:rPr>
          <w:rFonts w:hint="eastAsia" w:ascii="宋体" w:hAnsi="宋体" w:cs="宋体"/>
          <w:color w:val="auto"/>
          <w:sz w:val="24"/>
          <w:szCs w:val="24"/>
          <w:highlight w:val="none"/>
        </w:rPr>
        <w:t>调整、发布开工、停工、复工令等均需经</w:t>
      </w:r>
      <w:r>
        <w:rPr>
          <w:rFonts w:hint="eastAsia" w:ascii="宋体" w:hAnsi="宋体" w:cs="宋体"/>
          <w:color w:val="auto"/>
          <w:sz w:val="24"/>
          <w:szCs w:val="24"/>
          <w:highlight w:val="none"/>
          <w:u w:val="single"/>
        </w:rPr>
        <w:t>甲方书面认可</w:t>
      </w:r>
      <w:r>
        <w:rPr>
          <w:rFonts w:hint="eastAsia" w:ascii="宋体" w:hAnsi="宋体" w:cs="宋体"/>
          <w:color w:val="auto"/>
          <w:sz w:val="24"/>
          <w:szCs w:val="24"/>
          <w:highlight w:val="none"/>
        </w:rPr>
        <w:t>。</w:t>
      </w:r>
    </w:p>
    <w:p w14:paraId="572AE87F">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义务：</w:t>
      </w:r>
      <w:r>
        <w:rPr>
          <w:rFonts w:hint="eastAsia" w:ascii="宋体" w:hAnsi="宋体" w:cs="宋体"/>
          <w:color w:val="auto"/>
          <w:sz w:val="24"/>
          <w:szCs w:val="24"/>
          <w:highlight w:val="none"/>
          <w:u w:val="single"/>
        </w:rPr>
        <w:t>常驻现场，代表监理单位履行与甲方签订的监理合同</w:t>
      </w:r>
      <w:r>
        <w:rPr>
          <w:rFonts w:hint="eastAsia" w:ascii="宋体" w:hAnsi="宋体" w:cs="宋体"/>
          <w:color w:val="auto"/>
          <w:sz w:val="24"/>
          <w:szCs w:val="24"/>
          <w:highlight w:val="none"/>
        </w:rPr>
        <w:t>。</w:t>
      </w:r>
    </w:p>
    <w:p w14:paraId="24262FB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1.2甲方委派的负责人</w:t>
      </w:r>
    </w:p>
    <w:p w14:paraId="68028388">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r>
        <w:rPr>
          <w:rFonts w:hint="eastAsia" w:ascii="宋体" w:hAnsi="宋体" w:cs="宋体"/>
          <w:color w:val="auto"/>
          <w:sz w:val="24"/>
          <w:szCs w:val="24"/>
          <w:highlight w:val="none"/>
          <w:u w:val="single"/>
        </w:rPr>
        <w:t>甲方项目负责人</w:t>
      </w:r>
      <w:r>
        <w:rPr>
          <w:rFonts w:hint="eastAsia" w:ascii="宋体" w:hAnsi="宋体" w:cs="宋体"/>
          <w:color w:val="auto"/>
          <w:sz w:val="24"/>
          <w:szCs w:val="24"/>
          <w:highlight w:val="none"/>
        </w:rPr>
        <w:t>。</w:t>
      </w:r>
    </w:p>
    <w:p w14:paraId="437CEDBE">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职权：</w:t>
      </w:r>
      <w:r>
        <w:rPr>
          <w:rFonts w:hint="eastAsia" w:ascii="宋体" w:hAnsi="宋体" w:cs="宋体"/>
          <w:color w:val="auto"/>
          <w:sz w:val="24"/>
          <w:szCs w:val="24"/>
          <w:highlight w:val="none"/>
          <w:u w:val="single"/>
        </w:rPr>
        <w:t>甲方代表，行使甲方的权利</w:t>
      </w:r>
      <w:r>
        <w:rPr>
          <w:rFonts w:hint="eastAsia" w:ascii="宋体" w:hAnsi="宋体" w:cs="宋体"/>
          <w:color w:val="auto"/>
          <w:sz w:val="24"/>
          <w:szCs w:val="24"/>
          <w:highlight w:val="none"/>
        </w:rPr>
        <w:t>。</w:t>
      </w:r>
    </w:p>
    <w:p w14:paraId="2AB97D19">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义务：</w:t>
      </w:r>
      <w:r>
        <w:rPr>
          <w:rFonts w:hint="eastAsia" w:ascii="宋体" w:hAnsi="宋体" w:cs="宋体"/>
          <w:color w:val="auto"/>
          <w:sz w:val="24"/>
          <w:szCs w:val="24"/>
          <w:highlight w:val="none"/>
          <w:u w:val="single"/>
        </w:rPr>
        <w:t>代表甲方负责工程质量、进度、技术、投资控制等施工期间的日常管理工作，履行与乙方签订的本建设工程施工合同。</w:t>
      </w:r>
    </w:p>
    <w:p w14:paraId="2900F13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1.3不实行监理的，由甲方委派的负责人行驶全过程管理职权。</w:t>
      </w:r>
    </w:p>
    <w:p w14:paraId="2432893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1.4乙方项目负责人</w:t>
      </w:r>
    </w:p>
    <w:p w14:paraId="41C80D8E">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，职权：</w:t>
      </w:r>
      <w:r>
        <w:rPr>
          <w:rFonts w:hint="eastAsia" w:ascii="宋体" w:hAnsi="宋体" w:cs="宋体"/>
          <w:color w:val="auto"/>
          <w:sz w:val="24"/>
          <w:szCs w:val="24"/>
          <w:highlight w:val="none"/>
          <w:u w:val="single"/>
        </w:rPr>
        <w:t>代表乙方全权处理本工程的一切事务</w:t>
      </w:r>
      <w:r>
        <w:rPr>
          <w:rFonts w:hint="eastAsia" w:ascii="宋体" w:hAnsi="宋体" w:cs="宋体"/>
          <w:color w:val="auto"/>
          <w:sz w:val="24"/>
          <w:szCs w:val="24"/>
          <w:highlight w:val="none"/>
        </w:rPr>
        <w:t>。</w:t>
      </w:r>
    </w:p>
    <w:p w14:paraId="32BCC7F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义务：</w:t>
      </w:r>
      <w:r>
        <w:rPr>
          <w:rFonts w:hint="eastAsia" w:ascii="宋体" w:hAnsi="宋体" w:cs="宋体"/>
          <w:color w:val="auto"/>
          <w:sz w:val="24"/>
          <w:szCs w:val="24"/>
          <w:highlight w:val="none"/>
          <w:u w:val="single"/>
        </w:rPr>
        <w:t>常驻现场，代表乙方履行与甲方签订的本建设工程施工合同</w:t>
      </w:r>
      <w:r>
        <w:rPr>
          <w:rFonts w:hint="eastAsia" w:ascii="宋体" w:hAnsi="宋体" w:cs="宋体"/>
          <w:color w:val="auto"/>
          <w:sz w:val="24"/>
          <w:szCs w:val="24"/>
          <w:highlight w:val="none"/>
        </w:rPr>
        <w:t>。</w:t>
      </w:r>
    </w:p>
    <w:p w14:paraId="0F51391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乙方安全负责人</w:t>
      </w:r>
    </w:p>
    <w:p w14:paraId="3A07C45A">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     ，职权：代表乙方全权处理本工程安全生产事务。</w:t>
      </w:r>
    </w:p>
    <w:p w14:paraId="570495D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义务：常驻现场，代表乙方落实并确保本工程安全生产工作。</w:t>
      </w:r>
    </w:p>
    <w:p w14:paraId="65F587E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1.4.1乙方如需更换项目负责人或安全责任人，按有关规定执行，后任继续行使合同文件约定的前任的职权，履行前任的义务。未征得甲方书面同意，乙方不得更换项目负责人和安全责任人。</w:t>
      </w:r>
    </w:p>
    <w:p w14:paraId="176BECE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甲方可以与乙方协商，建议更换其认为不称职的项目负责人或安全责任人，乙方应及时采纳甲方的建议予以更换，新更换的项目负责人或安全责任人应满足本项目相应的资质要求、且业绩资历不得低于原负责人并能胜任本项目的项目负责人或安全责任人工作。</w:t>
      </w:r>
    </w:p>
    <w:p w14:paraId="226D46E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1.4.3未经甲方同意，乙方项目负责人不得兼任其他工程项目负责人，否则甲方可按单方面终止合同处理。</w:t>
      </w:r>
    </w:p>
    <w:p w14:paraId="55459043">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1.5现场管理机构</w:t>
      </w:r>
    </w:p>
    <w:p w14:paraId="68BC48B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乙方必须建立现场管理机构，严格执行现行建设工程项目管理规范，并积极主动接受甲方、</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、监理负责人以及有关行业管理部门的监督检查。</w:t>
      </w:r>
    </w:p>
    <w:p w14:paraId="1A3E36F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工前，乙方需书面向监理负责人提交主要管理人员信息（包括项目负责人、安全责任人，技术负责人的详细履历、资格资料），主要人员不到位则不许开工。工程实施过程中，未经甲方及监理负责人同意，项目主要管理人员不得更换。</w:t>
      </w:r>
    </w:p>
    <w:p w14:paraId="5FCED108">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2.甲方工作</w:t>
      </w:r>
    </w:p>
    <w:p w14:paraId="1C36080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2.1甲方应按约定的时间和要求完成以下工作：</w:t>
      </w:r>
    </w:p>
    <w:p w14:paraId="5FDFED5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（1）提供满足施工需求的施工场地条件；因土地征收和拆迁补偿进度原因不能按时移交场地的，可采取分段逐步方式移交施工场地，甲方按现有场地移交给乙方，乙方应无条件接受。</w:t>
      </w:r>
    </w:p>
    <w:p w14:paraId="2CA1A7F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（2）提供工程地质和地下管线资料；</w:t>
      </w:r>
    </w:p>
    <w:p w14:paraId="50B52B0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（3）提供由甲方办理的施工所需证件；</w:t>
      </w:r>
    </w:p>
    <w:p w14:paraId="5141BC1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（4）施工前组织图纸会审和勘察设计交底时间；</w:t>
      </w:r>
    </w:p>
    <w:p w14:paraId="61DA59F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（5）协调处理施工场地周围地下管线和邻近建筑物、构筑物（含文物保护建筑）、古树名木的保护工作；</w:t>
      </w:r>
    </w:p>
    <w:p w14:paraId="10B9F96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（6）负责初步审核迁改方案、初步勘察设计方案及施工图方案，复核本工程范围产生的勘察设计变更、签证确认及工程量确认；</w:t>
      </w:r>
    </w:p>
    <w:p w14:paraId="49A19F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（7）审核乙方提请的请款资料，向</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提请支付申请；</w:t>
      </w:r>
    </w:p>
    <w:p w14:paraId="586C70E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（8）负责组织迁改项目竣工验收、竣工验收后的档案移交，固定资产移交；</w:t>
      </w:r>
    </w:p>
    <w:p w14:paraId="53353DB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（9）双方约定甲方应做的其他工作。</w:t>
      </w:r>
    </w:p>
    <w:p w14:paraId="3C8E6F5A">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3.乙方工作</w:t>
      </w:r>
    </w:p>
    <w:p w14:paraId="3F52948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（1）协调本工程管线产权业主，办理施工相关报建、报批手续；</w:t>
      </w:r>
    </w:p>
    <w:p w14:paraId="5E19E2A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（2）按照各方确认的迁改方案、图纸制定施工组织勘察设计并经乙方内部审查后报监理人和甲、</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审批，其中迁改方案如有需要应报管线单位确认；</w:t>
      </w:r>
    </w:p>
    <w:p w14:paraId="2218FD0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（3）开工前做好施工场地周围管线、地下建（构）筑物的探测，并采取相应保护措施；</w:t>
      </w:r>
    </w:p>
    <w:p w14:paraId="33B0DA8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（4）无条件负责本工程管线从验收至移交期间的维护管养工作；</w:t>
      </w:r>
    </w:p>
    <w:p w14:paraId="22BB473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（5）严格按照经批准的图纸及方案施工，未经监理人和甲方批准，不得擅自改变施工方案和施工内容；</w:t>
      </w:r>
    </w:p>
    <w:p w14:paraId="05A8570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（6）编制施工图及预算，做好项目勘察设计变更、签证，确保工程质量、投资目标控制、工期要求，按质按量按期交付使用；</w:t>
      </w:r>
    </w:p>
    <w:p w14:paraId="261FBB6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当迁改工作涉及非主体工作内容，乙方不具备相应资质，乙方可向甲方申请专业分包，经甲方审批后，可委托专业分包具备相应的资质及安全生产条件的单位实施，分包工作不免除乙方本应承担的工作范围及义务。</w:t>
      </w:r>
    </w:p>
    <w:p w14:paraId="2A643A2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（8）负责施工场地及现场设施齐全，按甲方、</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及相关行政主管门要求做好施工现场的文明施工，整个工程施工周期内均应达到行业文明工地的要求；</w:t>
      </w:r>
    </w:p>
    <w:p w14:paraId="6218A43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负责施工现场的在合同工程施工期间，根据政府有关环境保护的规定，应采取所有合理的措施来保护现场内外的环境，并避免由于其操作方法所造成的污染、噪声或其它问题而对附近的人员、环境或公私财产造成的干扰、损失或损害；</w:t>
      </w:r>
    </w:p>
    <w:p w14:paraId="665FCF7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（10）做好做好施工场地地下管线和邻近建筑物、注重绿化植木保护、构筑物（包括文物保护建筑）、古树名木保护工作；</w:t>
      </w:r>
    </w:p>
    <w:p w14:paraId="04A6855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（11）负责承担其出入现场所需要的专用或临时道路（含水路）通行权，养路费等一切费用和税费，办理相关手续；</w:t>
      </w:r>
    </w:p>
    <w:p w14:paraId="0354FE5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负责做好现场施工场地及施工范围内的地下管线交底及保护，甲方提供的工程地质及地下管线资料仅供参考，乙方应有义务做好开工前管线摸查、编制各类管线及周边设施的专项保护方案，施工期间的做好临近管线及设施管养单位或产权单位的现场交底，根据专项方案施工，避免施工过程中对相邻管线、设施、道路、现场环境等施工范围内外造成损坏，造成损失的应由乙方自行承担；</w:t>
      </w:r>
    </w:p>
    <w:p w14:paraId="6EAD425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（13）负责做好各类专项方案编制及报批工作；</w:t>
      </w:r>
    </w:p>
    <w:p w14:paraId="07D7DAEF">
      <w:pPr>
        <w:tabs>
          <w:tab w:val="left" w:pos="3407"/>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（14）乙方应加强施工现场管理，严格按照《中华人民共和国公路法》《中华人民共和国道路交通安全法》《道路交通标志标线第 4 部分：作业区》GB5768.4-2017)《城市道路占道施工交通组织和安全措施设置》《广州市交通运输局关于进一步规范设置占道施工公示牌的通知》(穗交运函 〔2022〕523 号《机动车道挖掘修复技术方案指引(试行)》(穗交运函 〔2022〕691号)《广州市建设工程绿色施工围蔽指导图集 (V2.0 版)》《广州水投集团关于印发建设工程绿色施工围蔽指导图集 (试行)的通知》等相关法律法规、技术规范、标准负责（若合同发包内容不包含相应工作内容及费用的，则为配合）做好施工围蔽，设置占道施工公示牌、占道施工信息二维码公示牌，安装警示灯、车辆导向牌等施工标识，做好扬尘控制、噪声污染防治、道路修复等工作；</w:t>
      </w:r>
    </w:p>
    <w:p w14:paraId="7EF6B1A7">
      <w:pPr>
        <w:tabs>
          <w:tab w:val="left" w:pos="3407"/>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（15）乙方应做好占道施工作业现场安全文明施工管理、亮证施工。严格按照批准的施工组织方案实施，不得擅自扩大开挖和围蔽范围，在围蔽范围内规范摆放施工材料及机具，按规定设置必要临时设施；</w:t>
      </w:r>
    </w:p>
    <w:p w14:paraId="590A41A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（16）应积极配合甲方、</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及相关行政主管部门等各项检查工作；</w:t>
      </w:r>
    </w:p>
    <w:p w14:paraId="7985E31B">
      <w:pPr>
        <w:pStyle w:val="2"/>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（17）乙方应按照法律法规、政策、相关行政管理部门及甲方要求购买各类保险。</w:t>
      </w:r>
    </w:p>
    <w:p w14:paraId="1843F5D6">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二、施工组织勘察设计和工期</w:t>
      </w:r>
    </w:p>
    <w:p w14:paraId="023AD1D6">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2.1进度计划</w:t>
      </w:r>
    </w:p>
    <w:p w14:paraId="2590AFF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（1）乙方应于合同签订后5天内向甲方提交工程进度计划，并于开工前3天内提交施工组织勘察设计（施工方案）给甲方。</w:t>
      </w:r>
    </w:p>
    <w:p w14:paraId="3ABBA3E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乙方提交的施工组织勘察设计（施工方案）应当按国家、省、市关于施工承包管理的要求编制。</w:t>
      </w:r>
    </w:p>
    <w:p w14:paraId="4B8B812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（2）监理人在接到乙方提交的施工组织勘察设计和工程进度计划后，予以确认或提出修改意见。</w:t>
      </w:r>
    </w:p>
    <w:p w14:paraId="41E588E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为便于甲方掌握和控制工期，乙方应于每周一及每月底向监理人填报工程的周计划完成情况及当月进度计划完成情况（没完成计划的必须说明原因），并在此基础上更新工程进度计划。监理人在接到报告后予以确认或提出书面意见，乙方必须按照监理人的确认或者书面意见执行。（报监理工程师的同时，抄送一份给甲方。）</w:t>
      </w:r>
    </w:p>
    <w:p w14:paraId="1DC215C8">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2.2开工</w:t>
      </w:r>
    </w:p>
    <w:p w14:paraId="39CA69E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2.2.1开工日期和竣工日期   </w:t>
      </w:r>
      <w:r>
        <w:rPr>
          <w:rFonts w:hint="eastAsia" w:ascii="宋体" w:hAnsi="宋体" w:cs="宋体"/>
          <w:color w:val="auto"/>
          <w:sz w:val="24"/>
          <w:szCs w:val="24"/>
          <w:highlight w:val="none"/>
          <w:u w:val="single"/>
        </w:rPr>
        <w:t xml:space="preserve"> </w:t>
      </w:r>
    </w:p>
    <w:p w14:paraId="254DB15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w:t>
      </w:r>
      <w:r>
        <w:rPr>
          <w:rFonts w:hint="eastAsia" w:ascii="宋体" w:hAnsi="宋体"/>
          <w:color w:val="auto"/>
          <w:sz w:val="24"/>
          <w:highlight w:val="none"/>
        </w:rPr>
        <w:t>开工</w:t>
      </w:r>
      <w:r>
        <w:rPr>
          <w:rFonts w:ascii="宋体" w:hAnsi="宋体"/>
          <w:color w:val="auto"/>
          <w:sz w:val="24"/>
          <w:highlight w:val="none"/>
        </w:rPr>
        <w:t>日期</w:t>
      </w:r>
      <w:r>
        <w:rPr>
          <w:rFonts w:hint="eastAsia" w:ascii="宋体" w:hAnsi="宋体" w:cs="宋体"/>
          <w:color w:val="auto"/>
          <w:sz w:val="24"/>
          <w:szCs w:val="24"/>
          <w:highlight w:val="none"/>
        </w:rPr>
        <w:t>具体以甲方或监理人发出的开工令为准；配合房屋拆卸，按拆卸服务合同工期，具体以甲方通知为准。</w:t>
      </w:r>
    </w:p>
    <w:p w14:paraId="309A0C9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2.2.3乙方必须采取一切有效措施保证竣工日期，不得延误。除非发生了以下情形：</w:t>
      </w:r>
    </w:p>
    <w:p w14:paraId="20E19B2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（1）政府对本工程建设项目作出停建、缓建的决定；</w:t>
      </w:r>
    </w:p>
    <w:p w14:paraId="0A09032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（2）重大勘察设计变更导致本工程在规划、使用、功能方面有重大调整；</w:t>
      </w:r>
    </w:p>
    <w:p w14:paraId="16CAB18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（3）不可抗力持续影响而延误工期超过12天以上；</w:t>
      </w:r>
    </w:p>
    <w:p w14:paraId="790A6BE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（4）本合同专用条款约定的其他非乙方原因导致的工期延误。</w:t>
      </w:r>
    </w:p>
    <w:p w14:paraId="1FD961AB">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2.3暂停施工</w:t>
      </w:r>
    </w:p>
    <w:p w14:paraId="7184A92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2.3.1因下列原因，监理负责人报经甲方同意，可通知乙方暂停施工：</w:t>
      </w:r>
    </w:p>
    <w:p w14:paraId="095AE4D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（1）工程勘察设计发生重大变更；</w:t>
      </w:r>
    </w:p>
    <w:p w14:paraId="7F09B64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（2）不可抗力；</w:t>
      </w:r>
    </w:p>
    <w:p w14:paraId="32A318D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（3）质量事故；</w:t>
      </w:r>
    </w:p>
    <w:p w14:paraId="35FCAF9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（4）安全生产事故；</w:t>
      </w:r>
    </w:p>
    <w:p w14:paraId="39E8481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（5）因乙方管理不善，可能导致现场混乱；</w:t>
      </w:r>
    </w:p>
    <w:p w14:paraId="1F232C5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（6）乙方违规施工，经监理工程师通知改正但仍不执行。</w:t>
      </w:r>
    </w:p>
    <w:p w14:paraId="2369F5F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乙方不得以与甲方有争议为由或者以争议未解决为由而单方面停工。否则，应按约定承担工期延误的违约责任。</w:t>
      </w:r>
    </w:p>
    <w:p w14:paraId="330D696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因发生上述第（1）、（2）项原因而暂停施工的，工期可协商调整，因发生上述第（3）、（4）、（5）、（6）项原因而暂停施工的，工期不予顺延,乙方必须承担由此发生的费用并向甲方承担违约责任。</w:t>
      </w:r>
    </w:p>
    <w:p w14:paraId="2490A2F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为了保证工程质量安全，凡乙方出现下列情况之一（不限于此）的，监理负责人有权下达停工令，责令乙方停工整改，由此造成的损失由乙方自行承担，工期不予顺延，如果造成工期延误的，乙方还应承担违约责任。</w:t>
      </w:r>
    </w:p>
    <w:p w14:paraId="5BC92A8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(1)拒绝监理单位管理；</w:t>
      </w:r>
    </w:p>
    <w:p w14:paraId="4F70A75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(2)施工组织勘察设计（方案）未获监理负责人批准而进行施工；</w:t>
      </w:r>
    </w:p>
    <w:p w14:paraId="2FCFFCC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(3)未经监理单位检验而进行下一道工序作业者；</w:t>
      </w:r>
    </w:p>
    <w:p w14:paraId="5921787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(4)擅自采用未经监理单位及甲、</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认可或批准的材料的，或者使用的原材料、构配件不合格或未经检查确认的，或者擅自采用未经认可的代用材料的；</w:t>
      </w:r>
    </w:p>
    <w:p w14:paraId="741872E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(5)擅自变更勘察设计图纸的要求；</w:t>
      </w:r>
    </w:p>
    <w:p w14:paraId="68FE09A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(6)转包工程；</w:t>
      </w:r>
    </w:p>
    <w:p w14:paraId="74C5027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(7)存在安全隐患，未按监理单位要求及时进行整改；</w:t>
      </w:r>
    </w:p>
    <w:p w14:paraId="44FB7A6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(8)未按双方约定的资料上报要求上报所需资料的。</w:t>
      </w:r>
    </w:p>
    <w:p w14:paraId="7E946543">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三、质量与验收</w:t>
      </w:r>
    </w:p>
    <w:p w14:paraId="1DFDA7FD">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3.1工程质量</w:t>
      </w:r>
    </w:p>
    <w:p w14:paraId="27225713">
      <w:pPr>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3.1.1乙方必须严格按照勘察设计施工图和国家及行业颁发的现行有关勘察设计、施工及验收规范的要求进行施工，确保工程质量，工程的质量标准要求合格。乙方对图纸中存在的问题有责任和义务提前以书面形式报告甲方，以供甲方同监理人核实并及时要求勘察设计方修改勘察设计图纸。</w:t>
      </w:r>
    </w:p>
    <w:p w14:paraId="6B733649">
      <w:pPr>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3.1.2本工程项目的所有材料、设备及配件须达到现行中华人民共和国以及省、自治区、直辖市或行业的工程建设标准、规范的要求，产品应有生产许可证书、出厂合格证书，经监理工程师和甲方代表认可后方可使用。</w:t>
      </w:r>
    </w:p>
    <w:p w14:paraId="3DF68C2D">
      <w:pPr>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3.1.3工程质量不符合勘察设计要求、质量不合格者，监理工程师可指令乙方停工或返工，返工费用由乙方承担，工期不予顺延。</w:t>
      </w:r>
    </w:p>
    <w:p w14:paraId="366C655A">
      <w:pPr>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3.1.4发生须紧急抢修事故，乙方接到通知后，应立即到达事故现场抢修；否则，甲方可以另委托单位抢修，属乙方施工质量问题造成的修复等费用全部由乙方承担。</w:t>
      </w:r>
    </w:p>
    <w:p w14:paraId="777900B6">
      <w:pPr>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3.1.5乙方如违反操作规程或施工质量不符合本合同要求，甲方或监理人有权责令乙方停止施工；对不符合本合同质量要求的工程，乙方应无偿立即返工，直至工程质量达到本合同要求为止，由此造成的经济损失、工期的延误以及由此引起变更勘察设计增加的费用，均由乙方负责；</w:t>
      </w:r>
    </w:p>
    <w:p w14:paraId="781D5035">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3.2隐蔽工程和中间验收</w:t>
      </w:r>
    </w:p>
    <w:p w14:paraId="179AF87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双方约定中间验收部位：按相应工程施工及验收规范要求执行。乙方完成隐蔽工程施工必须通知监理人验收，未经验收通过不得转入下一道工序施工。</w:t>
      </w:r>
    </w:p>
    <w:p w14:paraId="2F3AC6C5">
      <w:pPr>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四、安全施工</w:t>
      </w:r>
    </w:p>
    <w:p w14:paraId="7CE84FBA">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4.1安全施工</w:t>
      </w:r>
    </w:p>
    <w:p w14:paraId="77477C7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4.1.1乙方必须按工程规模等实际情况配置安全员。</w:t>
      </w:r>
    </w:p>
    <w:p w14:paraId="0C7DEE3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4.1.2乙方在编制施工组织勘察设计时，应当根据工程的特点编制相应的安全技术措施。</w:t>
      </w:r>
    </w:p>
    <w:p w14:paraId="562894D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4.1.3乙方按有关安全和防护的规定组织施工生产，不得使用不合标准的防护器材、机具和材料。</w:t>
      </w:r>
    </w:p>
    <w:p w14:paraId="6DE3B6C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4.1.4在工程实施期间，施工场地一经移交给乙方，乙方即对自身施工场地负有全过程、全面的管理责任，必须对自身施工场地范围内的治安秩序、安全保卫、环境卫生以及周围房屋、市政设施等负全责，对自身施工场地范围内的交通道路、用水、用电、场地内的协调进行的管理和协调。</w:t>
      </w:r>
    </w:p>
    <w:p w14:paraId="53E8D27A">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4.2、安全防护</w:t>
      </w:r>
    </w:p>
    <w:p w14:paraId="25DF83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4.2.1乙方应在施工现场采取维护安全、防范危险、预防火灾等措施，在特殊作业环境应对作业人员采取劳动保护措施。</w:t>
      </w:r>
    </w:p>
    <w:p w14:paraId="0AD189B4">
      <w:pPr>
        <w:pStyle w:val="19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乙方应加强周边学校、居民住宅的环境保护，制定绿色施工安全防护措施（包括防尘、防噪音、施工围蔽等），施工现场严格按照《广州市建设工程文明施工管理规定》（广州市人民政府令第158号）、《广州市建设工程现场文明施工管理办法》（穗建质〔2008〕937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实施。</w:t>
      </w:r>
    </w:p>
    <w:p w14:paraId="239C738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4.2.3乙方应按规定对工程施工人员进行安全教育和管理。</w:t>
      </w:r>
    </w:p>
    <w:p w14:paraId="4408607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4.2.4乙方应书面记录专项安全施工组织勘察设计方案审查、安全检查、安全技术交底、安全隐患整改、安全教育等重要安全管理活动。</w:t>
      </w:r>
    </w:p>
    <w:p w14:paraId="1069F3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4.2.5乙方在工程实施过程中，按照国家、省、市的相关规定制定相关的专项安全施工方案（如基坑支护、顶管等），组织专家评审通过后，报监理人、甲方审批后方可开展专项工程的施工。</w:t>
      </w:r>
    </w:p>
    <w:p w14:paraId="4BB9C966">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4.3事故处理</w:t>
      </w:r>
    </w:p>
    <w:p w14:paraId="3170190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4.3.1如发生安全事故，除按法定程序办理有关事宜外，还必须按以下程序进行处理：</w:t>
      </w:r>
    </w:p>
    <w:p w14:paraId="347E277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4.3.2报告安全事故：安全事故发生后，乙方应在1小时内用最快的信息传递手段，将发生事故的时间、地点、伤亡人数、事故原因等情况，报监理人和甲方。</w:t>
      </w:r>
    </w:p>
    <w:p w14:paraId="66BD0A5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4.3.3事故处理：乙方负责抢救伤员、排除险情，防止事故扩大蔓延，保护好现场，并做好标志，启动保险理赔程序。</w:t>
      </w:r>
    </w:p>
    <w:p w14:paraId="7D41E2E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4.3.4事故调查：乙方应组织相关人员组成调查组，开展调查，并配合做好甲方或政府有关部门组织的调查工作。</w:t>
      </w:r>
    </w:p>
    <w:p w14:paraId="63AB709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4.3.5调查报告：乙方应把事故发生经过、原因、性质、损失、责任、处理意见、纠正和预防措施撰写成调查报告，送监理人会审后报甲方。</w:t>
      </w:r>
    </w:p>
    <w:p w14:paraId="430B509C">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五、合同价款与支付</w:t>
      </w:r>
    </w:p>
    <w:p w14:paraId="24203EE6">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5.1合同价款</w:t>
      </w:r>
    </w:p>
    <w:p w14:paraId="0419C950">
      <w:pPr>
        <w:pStyle w:val="189"/>
        <w:spacing w:line="360" w:lineRule="auto"/>
        <w:ind w:firstLine="482"/>
        <w:rPr>
          <w:rFonts w:hint="eastAsia" w:ascii="宋体" w:hAnsi="宋体" w:cs="宋体"/>
          <w:color w:val="auto"/>
          <w:sz w:val="24"/>
          <w:szCs w:val="24"/>
          <w:highlight w:val="none"/>
        </w:rPr>
      </w:pPr>
      <w:r>
        <w:rPr>
          <w:rFonts w:hint="eastAsia" w:ascii="宋体" w:hAnsi="宋体" w:cs="宋体"/>
          <w:b/>
          <w:color w:val="auto"/>
          <w:sz w:val="24"/>
          <w:szCs w:val="24"/>
          <w:highlight w:val="none"/>
        </w:rPr>
        <w:t>5.1.1</w:t>
      </w:r>
      <w:r>
        <w:rPr>
          <w:rFonts w:hint="eastAsia" w:ascii="宋体" w:hAnsi="宋体" w:cs="宋体"/>
          <w:color w:val="auto"/>
          <w:sz w:val="24"/>
          <w:szCs w:val="24"/>
          <w:highlight w:val="none"/>
        </w:rPr>
        <w:t>除甲乙双方另有约定外，本合同以人民币为报价和结算货币。</w:t>
      </w:r>
    </w:p>
    <w:p w14:paraId="6C4CA7AD">
      <w:pPr>
        <w:pStyle w:val="189"/>
        <w:spacing w:line="360" w:lineRule="auto"/>
        <w:ind w:firstLine="482"/>
        <w:rPr>
          <w:rFonts w:hint="eastAsia" w:ascii="宋体" w:hAnsi="宋体" w:cs="宋体"/>
          <w:color w:val="auto"/>
          <w:sz w:val="24"/>
          <w:szCs w:val="24"/>
          <w:highlight w:val="none"/>
        </w:rPr>
      </w:pPr>
      <w:r>
        <w:rPr>
          <w:rFonts w:hint="eastAsia" w:ascii="宋体" w:hAnsi="宋体" w:cs="宋体"/>
          <w:b/>
          <w:color w:val="auto"/>
          <w:sz w:val="24"/>
          <w:szCs w:val="24"/>
          <w:highlight w:val="none"/>
        </w:rPr>
        <w:t>5.1.2</w:t>
      </w:r>
      <w:r>
        <w:rPr>
          <w:rFonts w:hint="eastAsia" w:ascii="宋体" w:hAnsi="宋体" w:cs="宋体"/>
          <w:color w:val="auto"/>
          <w:sz w:val="24"/>
          <w:szCs w:val="24"/>
          <w:highlight w:val="none"/>
        </w:rPr>
        <w:t>本工程的合同暂定价（含税，下同）金额为：（大写）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元，开具税率为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%的增值税专用发票，合同期内如遇国家调整增值税税率，则按本合同未执行完的不含税价和调整后的增值税税率结算价款，不含税价=含税价÷（1+原增值税税率）。</w:t>
      </w:r>
    </w:p>
    <w:p w14:paraId="53C978BB">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5.2双方约定合同价款的调整因素：</w:t>
      </w:r>
    </w:p>
    <w:p w14:paraId="7329728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(1)甲方及监理单位共同确认工程量偏差；</w:t>
      </w:r>
    </w:p>
    <w:p w14:paraId="181B81A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(2)甲方及监理单位共同确认工程变更、签证和新增工程；</w:t>
      </w:r>
    </w:p>
    <w:p w14:paraId="7249D0F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(3)物价变化；</w:t>
      </w:r>
    </w:p>
    <w:p w14:paraId="14E3544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(4)费用索赔事件或甲方负责的其他情况。</w:t>
      </w:r>
    </w:p>
    <w:p w14:paraId="7024DDAA">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5.3合同价款调整原则:</w:t>
      </w:r>
    </w:p>
    <w:p w14:paraId="5158B39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勘察设计变更、签证工程和新增工程：工程项目实施期间和结算时，图纸工程量清单中漏列而由监理单位和甲、</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现场签证确认的工程项目；由于勘察设计需要或项目建设实际需要，会引致工程量清单内数量发生变化、或工程量清单内项目的局部内容发生变化、或新增了工程量清单内没有的项目；原勘察设计没有而由甲方批准勘察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14:paraId="52EEE3B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（1）施工图预算中有相同适用项目的，则采用该项目审定的施工图预算单价；</w:t>
      </w:r>
    </w:p>
    <w:p w14:paraId="31A2322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（2）施工图预算中无相同适用项目、只有类似适用项目的，则按类似项目的综合单价对相应子目、消耗量、材料设备价格等进行调整换算，原管理费、利润水平不变，仅调整主材和主要设备价格。</w:t>
      </w:r>
    </w:p>
    <w:p w14:paraId="366BD49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（3）施工图预算没有相同或类似适用项目的，按以下原则计价：执行本合同7.2.1.(2）款。</w:t>
      </w:r>
    </w:p>
    <w:p w14:paraId="61C89D4B">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5.4</w:t>
      </w:r>
      <w:r>
        <w:rPr>
          <w:rFonts w:hint="eastAsia" w:ascii="宋体" w:hAnsi="宋体" w:cs="宋体"/>
          <w:b/>
          <w:color w:val="auto"/>
          <w:sz w:val="24"/>
          <w:szCs w:val="24"/>
          <w:highlight w:val="none"/>
        </w:rPr>
        <w:t>工程款（进度款）支付</w:t>
      </w:r>
    </w:p>
    <w:p w14:paraId="684735AA">
      <w:pPr>
        <w:snapToGrid w:val="0"/>
        <w:spacing w:line="360" w:lineRule="auto"/>
        <w:ind w:firstLine="480" w:firstLineChars="200"/>
        <w:textAlignment w:val="baseline"/>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5.4.1工程价款支付</w:t>
      </w:r>
    </w:p>
    <w:p w14:paraId="0EE2986C">
      <w:pPr>
        <w:snapToGrid w:val="0"/>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本项目由</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负责预算统筹、资金拨付及预算审核，价款由甲、乙方及</w:t>
      </w:r>
      <w:r>
        <w:rPr>
          <w:rFonts w:hint="eastAsia" w:ascii="宋体" w:hAnsi="宋体" w:cs="宋体"/>
          <w:color w:val="auto"/>
          <w:kern w:val="0"/>
          <w:sz w:val="24"/>
          <w:szCs w:val="24"/>
          <w:highlight w:val="none"/>
          <w:u w:val="single"/>
        </w:rPr>
        <w:t>建设业主签订支付合同后，由建设业主</w:t>
      </w:r>
      <w:r>
        <w:rPr>
          <w:rFonts w:hint="eastAsia" w:ascii="宋体" w:hAnsi="宋体" w:cs="宋体"/>
          <w:color w:val="auto"/>
          <w:sz w:val="24"/>
          <w:szCs w:val="24"/>
          <w:highlight w:val="none"/>
        </w:rPr>
        <w:t>向乙方支付，合同结算以</w:t>
      </w:r>
      <w:r>
        <w:rPr>
          <w:rFonts w:hint="eastAsia" w:ascii="宋体" w:hAnsi="宋体" w:cs="宋体"/>
          <w:color w:val="auto"/>
          <w:kern w:val="0"/>
          <w:sz w:val="24"/>
          <w:szCs w:val="24"/>
          <w:highlight w:val="none"/>
          <w:u w:val="single"/>
        </w:rPr>
        <w:t>有权终审单位</w:t>
      </w:r>
      <w:r>
        <w:rPr>
          <w:rFonts w:hint="eastAsia" w:ascii="宋体" w:hAnsi="宋体" w:cs="宋体"/>
          <w:color w:val="auto"/>
          <w:sz w:val="24"/>
          <w:szCs w:val="24"/>
          <w:highlight w:val="none"/>
        </w:rPr>
        <w:t>审核价作为最终结算依据办理相关结算手续。</w:t>
      </w:r>
    </w:p>
    <w:p w14:paraId="25FE1CA9">
      <w:pPr>
        <w:snapToGrid w:val="0"/>
        <w:spacing w:line="360" w:lineRule="auto"/>
        <w:ind w:firstLine="480" w:firstLineChars="200"/>
        <w:textAlignment w:val="baseline"/>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5.4.2预付款</w:t>
      </w:r>
    </w:p>
    <w:p w14:paraId="209E466E">
      <w:pPr>
        <w:snapToGrid w:val="0"/>
        <w:spacing w:line="360" w:lineRule="auto"/>
        <w:ind w:firstLine="480" w:firstLineChars="200"/>
        <w:textAlignment w:val="baseline"/>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本合同生效后，甲方支付本合同金额中工程</w:t>
      </w:r>
      <w:r>
        <w:rPr>
          <w:rFonts w:hint="eastAsia" w:ascii="宋体" w:hAnsi="宋体" w:cs="宋体"/>
          <w:color w:val="auto"/>
          <w:kern w:val="0"/>
          <w:sz w:val="24"/>
          <w:szCs w:val="24"/>
          <w:highlight w:val="none"/>
        </w:rPr>
        <w:t>建安工程费（扣除暂列金额）</w:t>
      </w:r>
      <w:r>
        <w:rPr>
          <w:rFonts w:hint="eastAsia" w:ascii="宋体" w:hAnsi="宋体" w:cs="宋体"/>
          <w:snapToGrid w:val="0"/>
          <w:color w:val="auto"/>
          <w:sz w:val="24"/>
          <w:szCs w:val="24"/>
          <w:highlight w:val="none"/>
        </w:rPr>
        <w:t>的30%作为预付款，预付款在合同约定开工后的第一次支付进度款时开始抵扣，分五期等额扣回，若当期进度款支付数额不够抵扣当次应扣的预付款时，则下一期支付工程进度款扣回。</w:t>
      </w:r>
    </w:p>
    <w:p w14:paraId="7300A4ED">
      <w:pPr>
        <w:snapToGrid w:val="0"/>
        <w:spacing w:line="360" w:lineRule="auto"/>
        <w:ind w:firstLine="480" w:firstLineChars="200"/>
        <w:textAlignment w:val="baseline"/>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5.4.3进度款支付</w:t>
      </w:r>
    </w:p>
    <w:p w14:paraId="7AC4166C">
      <w:pPr>
        <w:snapToGrid w:val="0"/>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每月以甲方审定预算清单的综合单价及实际工作量支付至80%；当某一规划地块管线迁改完成后，本地块进度款可支付至实际产值的85%。</w:t>
      </w:r>
    </w:p>
    <w:p w14:paraId="4F9D3707">
      <w:pPr>
        <w:snapToGrid w:val="0"/>
        <w:spacing w:line="360" w:lineRule="auto"/>
        <w:ind w:firstLine="480" w:firstLineChars="200"/>
        <w:textAlignment w:val="baseline"/>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5.4.4结算款支付</w:t>
      </w:r>
    </w:p>
    <w:p w14:paraId="5D54E2E1">
      <w:pPr>
        <w:snapToGrid w:val="0"/>
        <w:spacing w:line="360" w:lineRule="auto"/>
        <w:ind w:firstLine="480" w:firstLineChars="200"/>
        <w:textAlignment w:val="baseline"/>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5.4.4.1甲乙双方按照合同约定的结算办法进行竣工结算。</w:t>
      </w:r>
    </w:p>
    <w:p w14:paraId="1C90BBB0">
      <w:pPr>
        <w:snapToGrid w:val="0"/>
        <w:spacing w:line="360" w:lineRule="auto"/>
        <w:ind w:firstLine="480" w:firstLineChars="200"/>
        <w:textAlignment w:val="baseline"/>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5.4.4.2迁改施工完毕后乙方须及时组织竣工验收并办理管线移交手续，乙方在30天内编制符合市财政评审中心或</w:t>
      </w:r>
      <w:r>
        <w:rPr>
          <w:rFonts w:hint="eastAsia" w:ascii="宋体" w:hAnsi="宋体" w:cs="宋体"/>
          <w:color w:val="auto"/>
          <w:kern w:val="0"/>
          <w:sz w:val="24"/>
          <w:szCs w:val="24"/>
          <w:highlight w:val="none"/>
          <w:u w:val="single"/>
        </w:rPr>
        <w:t>建设业主</w:t>
      </w:r>
      <w:r>
        <w:rPr>
          <w:rFonts w:hint="eastAsia" w:ascii="宋体" w:hAnsi="宋体" w:cs="宋体"/>
          <w:snapToGrid w:val="0"/>
          <w:color w:val="auto"/>
          <w:sz w:val="24"/>
          <w:szCs w:val="24"/>
          <w:highlight w:val="none"/>
        </w:rPr>
        <w:t>要求的竣工结算资料送监理单位审核，经监理单位审核后送甲方复核，最终以</w:t>
      </w:r>
      <w:r>
        <w:rPr>
          <w:rFonts w:hint="eastAsia" w:ascii="宋体" w:hAnsi="宋体" w:cs="宋体"/>
          <w:color w:val="auto"/>
          <w:kern w:val="0"/>
          <w:sz w:val="24"/>
          <w:szCs w:val="24"/>
          <w:highlight w:val="none"/>
          <w:u w:val="single"/>
        </w:rPr>
        <w:t>建设业主</w:t>
      </w:r>
      <w:r>
        <w:rPr>
          <w:rFonts w:hint="eastAsia" w:ascii="宋体" w:hAnsi="宋体" w:cs="宋体"/>
          <w:snapToGrid w:val="0"/>
          <w:color w:val="auto"/>
          <w:sz w:val="24"/>
          <w:szCs w:val="24"/>
          <w:highlight w:val="none"/>
        </w:rPr>
        <w:t>审定本工程的结算为准。</w:t>
      </w:r>
      <w:r>
        <w:rPr>
          <w:rFonts w:hint="eastAsia" w:ascii="宋体" w:hAnsi="宋体" w:cs="宋体"/>
          <w:color w:val="auto"/>
          <w:kern w:val="0"/>
          <w:sz w:val="24"/>
          <w:szCs w:val="24"/>
          <w:highlight w:val="none"/>
          <w:u w:val="single"/>
        </w:rPr>
        <w:t>建设业主</w:t>
      </w:r>
      <w:r>
        <w:rPr>
          <w:rFonts w:hint="eastAsia" w:ascii="宋体" w:hAnsi="宋体" w:cs="宋体"/>
          <w:snapToGrid w:val="0"/>
          <w:color w:val="auto"/>
          <w:sz w:val="24"/>
          <w:szCs w:val="24"/>
          <w:highlight w:val="none"/>
        </w:rPr>
        <w:t xml:space="preserve">确认结算后支付至结算价的97%，如结算终审后出现超付，乙方应在获知超付之日起15天内向付款方返还超付的款项。   </w:t>
      </w:r>
    </w:p>
    <w:p w14:paraId="777D22A1">
      <w:pPr>
        <w:snapToGrid w:val="0"/>
        <w:spacing w:line="360" w:lineRule="auto"/>
        <w:ind w:firstLine="480" w:firstLineChars="200"/>
        <w:textAlignment w:val="baseline"/>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 xml:space="preserve">5.4.4.3余款即结算价的3%作为质保金，在质保期满且乙方履行完质保义务后30个工作日内无息付清。 </w:t>
      </w:r>
    </w:p>
    <w:p w14:paraId="16A67693">
      <w:pPr>
        <w:snapToGrid w:val="0"/>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snapToGrid w:val="0"/>
          <w:color w:val="auto"/>
          <w:sz w:val="24"/>
          <w:szCs w:val="24"/>
          <w:highlight w:val="none"/>
        </w:rPr>
        <w:t>5.4.5所有款项支付，乙方应按照甲方要求提交书面付款申请表和合法有效的合法发票（税率为</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rPr>
        <w:t>%），否则甲方有权顺延支付。</w:t>
      </w:r>
    </w:p>
    <w:p w14:paraId="0B1F911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5.5乙方必须及时支付工人工资，因乙方拖欠工人工资造成维稳等事件，甲方有权按照乙方违约进行处罚。</w:t>
      </w:r>
    </w:p>
    <w:p w14:paraId="550DCED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5.6所有因变更、签证及价格调整等原因所调整增加的工程价款均应由乙方按甲方相关规定程序，报监理初审，并经甲、</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审批同意后，按审定金额另行签订补充协议支付，或在工程结算中一并支付。</w:t>
      </w:r>
    </w:p>
    <w:p w14:paraId="0DC5ADE9">
      <w:pPr>
        <w:pStyle w:val="2"/>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5.7质保期：项目质保期具体以交接书或管线权属单位意见为准，如无明确约定的按迁改项目实物移交之日为质保期终止日。</w:t>
      </w:r>
    </w:p>
    <w:p w14:paraId="73AD6AE7">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六、工程变更</w:t>
      </w:r>
    </w:p>
    <w:p w14:paraId="5EEB2703">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6.1工程勘察设计变更</w:t>
      </w:r>
    </w:p>
    <w:p w14:paraId="7E448B1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6.1.1开工前，甲方组织乙方、监理单位、勘察设计单位对施工图纸进行会审。同时，如需实施工程变更，乙方应以书面形式通知甲方和监理人，经监理人审查并报甲方同意后，由甲方与勘察设计单位商定修改或变更勘察设计方案进行实施。</w:t>
      </w:r>
    </w:p>
    <w:p w14:paraId="2699960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6.1.2变更应由监理工程师发出变更指令，没有监理工程师的指令，乙方不得进行上述变更。</w:t>
      </w:r>
    </w:p>
    <w:p w14:paraId="6D1D50E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6.1.3所有涉及工期和工程量的变更均应获得甲方书面批准才能生效。</w:t>
      </w:r>
    </w:p>
    <w:p w14:paraId="18B576E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6.1.4工程实施过程中甲方有权对承包内容和范围进行调整，如实际工程量相对施工图纸及施工合同工程量发生变化，乙方不得有任何异议，且乙方不得以任何理由要求甲方补偿任何费用（乙方要充分考虑最不利因素影响）。涉及本合同约定的合同价款调整的，按相关约定处理。</w:t>
      </w:r>
    </w:p>
    <w:p w14:paraId="049F2C67">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6.2其它变更</w:t>
      </w:r>
    </w:p>
    <w:p w14:paraId="69770C8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6.2.1工程现场签证：工程现场签证是指施工生产活动中用以证实在施工中遇到的某些特殊情况的一种书证明资料，一般指按承发包合同约定，由承发包双方代表就施工过程中涉及合同价款之外的责任事件所作的签认证明。</w:t>
      </w:r>
    </w:p>
    <w:p w14:paraId="1728C88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6.2.2签证的计价：按招标文件及合同中关于工程变更的计价有关规定执行。</w:t>
      </w:r>
    </w:p>
    <w:p w14:paraId="12A28877">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七、竣工验收与结算</w:t>
      </w:r>
    </w:p>
    <w:p w14:paraId="0059FC66">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7.1竣工验收</w:t>
      </w:r>
    </w:p>
    <w:p w14:paraId="17348D4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工程施工完成后7日内，乙方在自检合格后，书面通知监理人及甲方组织验收。工程验收后60日内，乙方完成管线移交工作。</w:t>
      </w:r>
    </w:p>
    <w:p w14:paraId="561BB2EE">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7.2竣工结算</w:t>
      </w:r>
    </w:p>
    <w:p w14:paraId="7FAC452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7.2.1分部分项工程结算办法</w:t>
      </w:r>
    </w:p>
    <w:p w14:paraId="04FA067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（1）本合同工程量清单内项目：</w:t>
      </w:r>
    </w:p>
    <w:p w14:paraId="06D75F6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①工程量按实计算。结算单价按投标确定的综合单价计算。</w:t>
      </w:r>
    </w:p>
    <w:p w14:paraId="0F728C5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若发生更换主材或预算清单中主材单价为暂定价的，调整主材结算价，综合单价中其它费用不予调整。结算时，如果所用主要材料是最新季度《广州地区建设工程材料（设备）厂商价格信息》里的品牌材料，材料价格则按《广州地区建设工程材料（设备）厂商价格信息》里相应品牌型号税前价格下浮20%；如果所用主要材料不是《广州地区建设工程材料（设备）厂商价格信息》里的品牌材料,可优先参考使用最新月份《广州地区建设工程常用材料税前综合价格》；如果最新月份《广州地区建设工程常用材料税前综合价格》没有相应材料价格的，可参照《广州地区建设工程材料（设备）厂商价格信息》里面相同档次品牌的厂商税前价格下浮20%；如果《广州地区建设工程常用材料税前综合价格》和《广州地区建设工程材料（设备）厂商价格信息》中都没有（或相同档次品牌）的材料，按双方签认的材料单价。</w:t>
      </w:r>
    </w:p>
    <w:p w14:paraId="387DB9D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（2）工程量清单外的工程项目，必须得到甲方现场管理人员的书面确认或签证并加盖甲方公章，按照下表进行计算综合单价：</w:t>
      </w:r>
    </w:p>
    <w:p w14:paraId="4A506D9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甲方按消耗量最少、管理费和利润取费最低的优先顺序选择类似项目综合单价进行换算。所换算主材及设备价格执行工程造价管理机构施工期间发布的《广州市建设工程价格信息及有关计价办法的通知》，没有的材料、设备单价，缺项部分执行《广州政府投资项目管线迁改工程主要材料（设备）价格信息》；不能满足的使用相应权属单位发布的主要设备材料信息价；仍不能满足但能提供品牌的，暂按广州市工程造价行业协会发布的《广州地区建设工程材料（设备）厂商价格信息》结合不少于三家进行询价（保留询价底稿）及厂商价对比取中值；以上均没有的材料、设备价格，由甲方、监理单位、乙方结合市场价共同协商确定。</w:t>
      </w:r>
    </w:p>
    <w:p w14:paraId="0A88071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②工程量清单报价中没有相同或类似适用项目的，按以下原则计价：由乙方依据变更工程资料，计量原则，优先套用</w:t>
      </w:r>
      <w:r>
        <w:rPr>
          <w:rFonts w:hint="eastAsia" w:ascii="宋体" w:hAnsi="宋体" w:cs="宋体"/>
          <w:color w:val="auto"/>
          <w:sz w:val="24"/>
          <w:szCs w:val="24"/>
          <w:highlight w:val="none"/>
        </w:rPr>
        <w:t>国家标准《建设工程工程量清单计价规范》(</w:t>
      </w:r>
      <w:r>
        <w:rPr>
          <w:rFonts w:ascii="宋体" w:hAnsi="宋体" w:cs="宋体"/>
          <w:color w:val="auto"/>
          <w:sz w:val="24"/>
          <w:szCs w:val="24"/>
          <w:highlight w:val="none"/>
        </w:rPr>
        <w:t>GB/T 50500-2024</w:t>
      </w:r>
      <w:r>
        <w:rPr>
          <w:rFonts w:hint="eastAsia" w:ascii="宋体" w:hAnsi="宋体" w:cs="宋体"/>
          <w:color w:val="auto"/>
          <w:sz w:val="24"/>
          <w:szCs w:val="24"/>
          <w:highlight w:val="none"/>
        </w:rPr>
        <w:t>)和《广东省建设工程计价依据（2018）》（本计价依据包括《广东省房屋建筑与装饰工程综合定额（2018）》、《广东省市政工程综合定额（2018）》、《广东省通用安装工程综合定额（2018）》、《广东省园林绿化工程综合定额（2018）》、《广东省建设工程施工机具台班费用编制规则（2018）》、《电网技术改造工程概算定额（2020年版）第四册 电缆线路工程》,《电网技术改造工程预算定额（2020年版）第一册 建筑工程》,《电网技术改造工程概算定额（2020年版）第一册 建筑工程》,《电网技术改造工程预算定额（2020年版）第三册 架空线路工程》,《电网技术改造工程预算定额（2020年版）第四册 电缆线路工程》,《电网检修工程预算定额（2020年版）第三册 电缆线路工程》,《电网技术改造工程概算定额（2020年版）第六册 通信工程》,《电网拆除工程预算定额（2020年版）第四册 电缆线路工程》；</w:t>
      </w:r>
      <w:r>
        <w:rPr>
          <w:rFonts w:hint="eastAsia" w:ascii="宋体" w:hAnsi="宋体" w:cs="宋体"/>
          <w:color w:val="auto"/>
          <w:sz w:val="24"/>
          <w:szCs w:val="24"/>
          <w:highlight w:val="none"/>
          <w:lang w:bidi="ar"/>
        </w:rPr>
        <w:t>建设期间项目所在地对应时期《南方电网公司电网工程主要设备材料信息价》、工程造价管理部门颁布的计价文件。</w:t>
      </w:r>
      <w:r>
        <w:rPr>
          <w:rFonts w:hint="eastAsia" w:ascii="宋体" w:hAnsi="宋体" w:cs="宋体"/>
          <w:color w:val="auto"/>
          <w:sz w:val="24"/>
          <w:szCs w:val="24"/>
          <w:highlight w:val="none"/>
        </w:rPr>
        <w:t>按工程造价管理机构施工期间发布的《广州市建设工程价格信息及有关计价办法的通知》，没有的材料、设备单价，缺项部分执行《广州政府投资项目管线迁改工程主要材料（设备）价格信息》；不能满足的使用相应权属单位发布的主要设备材料信息价；仍不能满足但能提供品牌的，暂按广州市工程造价行业协会发布的《广州地区建设工程材料（设备）厂商价格信息》结合不少于三家进行询价（保留询价底稿）及厂商价对比取中值，最后仍不能满足的，以乙方提供并经甲方、监理单位及</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确认的文件资料作为计价依据结合市场询价情况协商确定。</w:t>
      </w:r>
    </w:p>
    <w:p w14:paraId="1F8454F9">
      <w:pPr>
        <w:pStyle w:val="2"/>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按上述原则编制的新增综合单价执行中标下浮率。</w:t>
      </w:r>
    </w:p>
    <w:p w14:paraId="32BC8B9B">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（3）结算价最终以</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结算终审部门核准后确定。</w:t>
      </w:r>
    </w:p>
    <w:p w14:paraId="0644872A">
      <w:pPr>
        <w:widowControl/>
        <w:adjustRightInd w:val="0"/>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7.2.2.其他相关费用结算办法</w:t>
      </w:r>
    </w:p>
    <w:p w14:paraId="0E01FF2C">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措施项目及其他项目：单价措施项目按实结算，总价措施项目按经审定预算合价包干，其他项目费（含消纳费）按实结算。</w:t>
      </w:r>
    </w:p>
    <w:p w14:paraId="7DA6F533">
      <w:pPr>
        <w:widowControl/>
        <w:adjustRightInd w:val="0"/>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7.2.3竣工结算办法：</w:t>
      </w:r>
    </w:p>
    <w:p w14:paraId="0919AAE7">
      <w:pPr>
        <w:widowControl/>
        <w:adjustRightInd w:val="0"/>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所有工程量（含暂定工程量的结算）的结算均按本工程</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委托的造价咨询单位审定的综合单价、实际工程量进行结算。工程竣工后，乙方在30天内编制符合财政评审部门或</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要求的竣工结算资料送监理单位审核，经监理单位审核后送甲方复核，按规定报送</w:t>
      </w:r>
      <w:r>
        <w:rPr>
          <w:rFonts w:hint="eastAsia" w:ascii="宋体" w:hAnsi="宋体" w:cs="宋体"/>
          <w:color w:val="auto"/>
          <w:kern w:val="0"/>
          <w:sz w:val="24"/>
          <w:szCs w:val="24"/>
          <w:highlight w:val="none"/>
          <w:u w:val="single"/>
        </w:rPr>
        <w:t>建设业主</w:t>
      </w:r>
      <w:r>
        <w:rPr>
          <w:rFonts w:hint="eastAsia" w:ascii="宋体" w:hAnsi="宋体" w:cs="宋体"/>
          <w:color w:val="auto"/>
          <w:sz w:val="24"/>
          <w:szCs w:val="24"/>
          <w:highlight w:val="none"/>
        </w:rPr>
        <w:t>，最终以有权终审部门审定本工程的结算为准。</w:t>
      </w:r>
    </w:p>
    <w:p w14:paraId="38BE1FAF">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八、违约、索赔和争议</w:t>
      </w:r>
    </w:p>
    <w:p w14:paraId="70D24627">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8.1违约</w:t>
      </w:r>
    </w:p>
    <w:p w14:paraId="4DDA2E3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8.1.1本合同中关于甲方违约的具体责任如下：</w:t>
      </w:r>
    </w:p>
    <w:p w14:paraId="462CE5E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本合同约定甲方违约应承担的责任：顺延工期，但不作费用赔偿。</w:t>
      </w:r>
    </w:p>
    <w:p w14:paraId="437C9F8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8.1.2本合同中关于乙方违约的具体责任如下：</w:t>
      </w:r>
    </w:p>
    <w:p w14:paraId="1F015C0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8.1.3工期延误的违约责任：</w:t>
      </w:r>
    </w:p>
    <w:p w14:paraId="123566A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（1）乙方未按甲方或监理单位开工令要求时间开工的，每迟延开工1天，应向甲方支付违约金500元；迟延开工超过10天的，甲方有权根据实际情况单方面解除合同。</w:t>
      </w:r>
    </w:p>
    <w:p w14:paraId="25AF8E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（2）因乙方的原因造成工期延误，导致影响项目主体施工的，从延误的第一天起，每天支付违约金1000元。延误工期超过10天的，甲方可视情况终止合同。</w:t>
      </w:r>
    </w:p>
    <w:p w14:paraId="5AF8A8B1">
      <w:pPr>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（3）乙方逾期完成竣工验收、移交的，每逾期1天，乙方支付违约金100元。</w:t>
      </w:r>
    </w:p>
    <w:p w14:paraId="106C831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8.1.4安全、文明施工要求及违约处理：</w:t>
      </w:r>
    </w:p>
    <w:p w14:paraId="2DEED03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严格遵守国家、省、市有关施工安全以及文明施工、深夜施工、环卫和城市管理等规定，建立规章制度和防护措施，并组织施工。在相关部门的检查中，乙方施工场地被评为不合格工地或被通报批评或者被新闻媒体曝光的，每发生一次，乙方支付2000元违约金，如甲方因此被相关部门处罚的，责任由乙方承担。</w:t>
      </w:r>
    </w:p>
    <w:p w14:paraId="3DB5CDC7">
      <w:pPr>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sz w:val="24"/>
          <w:szCs w:val="24"/>
          <w:highlight w:val="none"/>
        </w:rPr>
        <w:t>（2）在施工过程中发生安全事故的，除按照国家、省、市规定进行处理。因乙方原因发生一般安全事故，未造成人员伤亡或造成人员轻伤及轻微财产损失的，每发生一次，乙方支付违约金5000元。</w:t>
      </w:r>
    </w:p>
    <w:p w14:paraId="02A42D4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8.1.5工程质量方面的违约责任：</w:t>
      </w:r>
    </w:p>
    <w:p w14:paraId="6F6AACE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必须保证用于本合同工程所有的材料设备的品牌、型号、规格、质量等符合本合同及招投标文件的要求，严禁假冒伪劣产品，严禁以次充好。乙方在施工中偷工减料、使用不合格的建筑材料、建筑构配件或设备、不按照工程勘察设计图纸、施工技术标准施工，或者未对有关材料取样送检的，应负责无偿修理或返工，并应支付合同价款百分之二的违约金；</w:t>
      </w:r>
    </w:p>
    <w:p w14:paraId="6A78E4A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因乙方原因导致的工程质量问题，乙方应立即返修，并承担因此造成的其他损失及赔偿责任，返修的一切费用均由乙方负责支付；如因乙方施工质量问题等原因造成质量监管部门或上级管理部门下达的整改通知责任书的，乙方每次因工程质量问题需要整改的，乙方应向甲方支付合同价款的1.5‰作为违约金，并在当季的诚信履约评价中予以扣分，累计两次，甲方有权将乙方的失信情况报上级部门；</w:t>
      </w:r>
    </w:p>
    <w:p w14:paraId="3AE8C27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（3）对施工质量问题存在争议，应请国家认可的第三方机构出具检测报告，检测费用由责任方承担。</w:t>
      </w:r>
    </w:p>
    <w:p w14:paraId="39F5309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8.1.6关于农民工工资支付的违约责任：</w:t>
      </w:r>
    </w:p>
    <w:p w14:paraId="0E5697D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拖欠农民工工资，被农民工投诉属实的，乙方必须在3天内发放拖欠的款项。若继续拖延被投诉2次及以上，经查实，乙方除应立即支付拖欠款项外，还应支付10000违约金。因乙方拖欠农民工工资，导致农民工采取停工、集聚围阻甲方办公地点甚至政府办公部门等过激行动的，乙方应支付50000元违约金，并立即采取切实有效措施予以整改；拒不采取切实有效措施整改的，或整改效果不明显的，甲方可用乙方工程款垫付。</w:t>
      </w:r>
    </w:p>
    <w:p w14:paraId="2B0C7577">
      <w:pPr>
        <w:pStyle w:val="188"/>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8.1.7项目管理机构人员、机械设备、劳动力到位方面的违约责任：</w:t>
      </w:r>
    </w:p>
    <w:p w14:paraId="180325F5">
      <w:pPr>
        <w:pStyle w:val="188"/>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应允许甲方或监理人对其投标文件中承诺的管理团队人员施工现场考勤情况进行检查，并记录考勤检查结果。管理团队人员（含乙方代表）每人每月应有25天或以上的出勤记录，乙方的项目负责人、安全负责人等必须常驻施工现场，且须无条件参加甲方或监理人组织的工地检查活动，如有缺席，则每人每缺席一次，乙方需支付1000元人民币违约金；</w:t>
      </w:r>
    </w:p>
    <w:p w14:paraId="4BD3E5AB">
      <w:pPr>
        <w:pStyle w:val="188"/>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本工程验收前乙方原则上不得更换其投标文件中承诺的管理团队人员，如管理团队人员发生人身意外、突发重大疾病、行政或刑事拘留等特殊情况，乙方确需更换管理团队人员的，应至少提前7天以书面形式通知甲方，并征得甲方书面同意，通知中应当载明继任管理团队人员的注册执业资格或职称、管理经验等资料，继任管理团队人员应继续履行合同约定的管理团队人员的职权及相应义务。拟更换人员的资质、学历、职称、业绩、实际工作能力不得低于原投标书中所承诺人员的综合素质。</w:t>
      </w:r>
    </w:p>
    <w:p w14:paraId="1B1EBDC5">
      <w:pPr>
        <w:pStyle w:val="188"/>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于不胜任工作的乙方人员，当监理工程师要求更换时，乙方必须立即予以更换，并不得继续在本合同工程供职。若乙方代表（注册建造师）或现场管理机构主要部门负责人的实际工作能力和工作表现达不到招标文件明确要求、或工作态度存在严重不足，不适应现场工作需要，甲方有权向乙方提出撤换。乙方可以提出整改意见；如甲方不予接受，则乙方必须在7天内无条件撤换，所调换来人员的资质、资历、学历、职称、业绩、实际工作能力不低于原投标书中所承诺人员的综合素质。对于不胜任工作的乙方人员，当监理工程师要求更换时，乙方必须立即予以更换，并不得继续在本合同工程供职。</w:t>
      </w:r>
    </w:p>
    <w:p w14:paraId="0562F095">
      <w:pPr>
        <w:pStyle w:val="188"/>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乙方人员资格的特别规定：所有特殊工种人员、各种领班以上人员均应符合有关规定的资质，并且应持有该项工作的上岗证，在施工期间佩带其上岗证供驻地监理工程师随时检查。</w:t>
      </w:r>
    </w:p>
    <w:p w14:paraId="3FB43894">
      <w:pPr>
        <w:pStyle w:val="188"/>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乙方若人员、设备、机械设备及检测设备不按照投标书中的承诺投入，根据对甲方的影响程度，每发现一次支付合同价款的1％ 作为违约金。如发现乙方代表及主要负责人兼职情况，经监理工程师核实后，甲方要求立即撤换该人员，乙方承担违约责任并向甲方支付违约金5万元/人/次。</w:t>
      </w:r>
    </w:p>
    <w:p w14:paraId="23C47C6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8.1.9乙方违约责任的认定方式、送达程序及违约金的处理</w:t>
      </w:r>
    </w:p>
    <w:p w14:paraId="43E5C0C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（1）认定方式：以甲方发出的通知、通报、会议纪要等书面文件确定的内容为准。</w:t>
      </w:r>
    </w:p>
    <w:p w14:paraId="60217D1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（2）送达程序：甲方以下列方式之一将书面违约处理决定送达乙方：</w:t>
      </w:r>
    </w:p>
    <w:p w14:paraId="7FC7C8C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1.乙方现场管理机构工作人员签收。</w:t>
      </w:r>
    </w:p>
    <w:p w14:paraId="2E6F08D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2.乙方人其他工作人员签收。</w:t>
      </w:r>
    </w:p>
    <w:p w14:paraId="74B3B62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3.乙方人邮寄送达。</w:t>
      </w:r>
    </w:p>
    <w:p w14:paraId="2D6045B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以书面形式作出的违约处理决定一经送达乙方立即生效。乙方如有足够证据证明不应由其承担违约责任的，应在收到违约处理决定后3天内以书面形式向甲方提出异议并附上有关证据。甲方在收到乙方的异议后15个工作日内审核完毕且作出书面决定并通知乙方。在异议审核期间，乙方须正常施工，不得以审核未确定为由拖延或者中止工程施工。</w:t>
      </w:r>
    </w:p>
    <w:p w14:paraId="615F8360">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8.2争议</w:t>
      </w:r>
    </w:p>
    <w:p w14:paraId="283FEA6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8.2.1甲乙双方约定，在履行合同过程中产生争议时：</w:t>
      </w:r>
    </w:p>
    <w:p w14:paraId="3710DDF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（1）由甲乙双方协商解决；</w:t>
      </w:r>
    </w:p>
    <w:p w14:paraId="1D20376E">
      <w:pPr>
        <w:pStyle w:val="198"/>
        <w:spacing w:line="360" w:lineRule="auto"/>
        <w:ind w:firstLine="480" w:firstLineChars="200"/>
        <w:jc w:val="both"/>
        <w:rPr>
          <w:rFonts w:hint="eastAsia" w:ascii="宋体" w:hAnsi="宋体" w:cs="宋体"/>
          <w:color w:val="auto"/>
          <w:highlight w:val="none"/>
          <w:lang w:eastAsia="zh-CN"/>
        </w:rPr>
      </w:pPr>
      <w:r>
        <w:rPr>
          <w:rFonts w:hint="eastAsia" w:ascii="宋体" w:hAnsi="宋体" w:cs="宋体"/>
          <w:color w:val="auto"/>
          <w:highlight w:val="none"/>
          <w:lang w:eastAsia="zh-CN"/>
        </w:rPr>
        <w:t>（2）协商不成的，向工程所在地人民法院提起诉讼。</w:t>
      </w:r>
      <w:bookmarkEnd w:id="4"/>
      <w:bookmarkStart w:id="5" w:name="_Toc287628088"/>
    </w:p>
    <w:p w14:paraId="77FB439C">
      <w:pPr>
        <w:pStyle w:val="2"/>
        <w:rPr>
          <w:rFonts w:hint="eastAsia" w:ascii="宋体" w:hAnsi="宋体" w:cs="宋体"/>
          <w:color w:val="auto"/>
          <w:highlight w:val="none"/>
        </w:rPr>
      </w:pPr>
    </w:p>
    <w:p w14:paraId="7D5DB0E7">
      <w:pPr>
        <w:rPr>
          <w:rFonts w:hint="eastAsia" w:ascii="宋体" w:hAnsi="宋体" w:cs="宋体"/>
          <w:color w:val="auto"/>
          <w:highlight w:val="none"/>
        </w:rPr>
      </w:pPr>
    </w:p>
    <w:p w14:paraId="0E588A3A">
      <w:pPr>
        <w:pStyle w:val="190"/>
        <w:keepLines w:val="0"/>
        <w:pageBreakBefore/>
        <w:spacing w:after="480" w:line="360" w:lineRule="auto"/>
        <w:rPr>
          <w:rFonts w:hint="eastAsia" w:ascii="宋体" w:hAnsi="宋体" w:eastAsia="宋体" w:cs="宋体"/>
          <w:color w:val="auto"/>
          <w:highlight w:val="none"/>
        </w:rPr>
      </w:pPr>
      <w:r>
        <w:rPr>
          <w:rFonts w:hint="eastAsia" w:ascii="宋体" w:hAnsi="宋体" w:eastAsia="宋体" w:cs="宋体"/>
          <w:color w:val="auto"/>
          <w:highlight w:val="none"/>
        </w:rPr>
        <w:t>第四篇　组成合同附件</w:t>
      </w:r>
      <w:bookmarkEnd w:id="5"/>
    </w:p>
    <w:p w14:paraId="0A09C759">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78838AEA">
      <w:pPr>
        <w:spacing w:line="360" w:lineRule="auto"/>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附件一：</w:t>
      </w:r>
    </w:p>
    <w:p w14:paraId="52401374">
      <w:pPr>
        <w:spacing w:line="360" w:lineRule="auto"/>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联合体承包协议书（工作界面划分）</w:t>
      </w:r>
    </w:p>
    <w:p w14:paraId="7F372B12">
      <w:pPr>
        <w:spacing w:line="360" w:lineRule="auto"/>
        <w:rPr>
          <w:rFonts w:hint="eastAsia" w:ascii="宋体" w:hAnsi="宋体"/>
          <w:color w:val="auto"/>
          <w:sz w:val="24"/>
          <w:szCs w:val="24"/>
          <w:highlight w:val="none"/>
        </w:rPr>
      </w:pPr>
    </w:p>
    <w:p w14:paraId="027C3AE4">
      <w:pPr>
        <w:spacing w:line="360" w:lineRule="auto"/>
        <w:ind w:firstLine="480" w:firstLineChars="200"/>
        <w:rPr>
          <w:rFonts w:hint="eastAsia" w:ascii="宋体" w:hAnsi="宋体"/>
          <w:color w:val="auto"/>
          <w:sz w:val="24"/>
          <w:szCs w:val="24"/>
          <w:highlight w:val="none"/>
          <w:u w:val="single"/>
        </w:rPr>
      </w:pPr>
      <w:r>
        <w:rPr>
          <w:rFonts w:hint="eastAsia" w:ascii="宋体" w:hAnsi="宋体" w:cs="仿宋"/>
          <w:color w:val="auto"/>
          <w:sz w:val="24"/>
          <w:szCs w:val="24"/>
          <w:highlight w:val="none"/>
        </w:rPr>
        <w:t>联合体牵头人（全称）：</w:t>
      </w:r>
      <w:r>
        <w:rPr>
          <w:rFonts w:hint="eastAsia" w:ascii="宋体" w:hAnsi="宋体" w:cs="仿宋"/>
          <w:color w:val="auto"/>
          <w:sz w:val="24"/>
          <w:szCs w:val="24"/>
          <w:highlight w:val="none"/>
          <w:u w:val="single"/>
        </w:rPr>
        <w:t xml:space="preserve">     </w:t>
      </w:r>
    </w:p>
    <w:p w14:paraId="72EBFF49">
      <w:pPr>
        <w:spacing w:line="360" w:lineRule="auto"/>
        <w:ind w:firstLine="480" w:firstLineChars="200"/>
        <w:rPr>
          <w:rFonts w:hint="eastAsia" w:ascii="宋体" w:hAnsi="宋体"/>
          <w:color w:val="auto"/>
          <w:sz w:val="24"/>
          <w:szCs w:val="24"/>
          <w:highlight w:val="none"/>
          <w:u w:val="single"/>
        </w:rPr>
      </w:pPr>
      <w:r>
        <w:rPr>
          <w:rFonts w:hint="eastAsia" w:ascii="宋体" w:hAnsi="宋体" w:cs="仿宋"/>
          <w:color w:val="auto"/>
          <w:sz w:val="24"/>
          <w:szCs w:val="24"/>
          <w:highlight w:val="none"/>
        </w:rPr>
        <w:t>成员单位（全称）：</w:t>
      </w:r>
      <w:r>
        <w:rPr>
          <w:rFonts w:hint="eastAsia" w:ascii="宋体" w:hAnsi="宋体" w:cs="仿宋"/>
          <w:color w:val="auto"/>
          <w:sz w:val="24"/>
          <w:szCs w:val="24"/>
          <w:highlight w:val="none"/>
          <w:u w:val="single"/>
        </w:rPr>
        <w:t xml:space="preserve">   </w:t>
      </w:r>
    </w:p>
    <w:p w14:paraId="62AD9825">
      <w:pPr>
        <w:spacing w:line="360" w:lineRule="auto"/>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rPr>
        <w:t>成员单位（全称）：</w:t>
      </w:r>
      <w:r>
        <w:rPr>
          <w:rFonts w:hint="eastAsia" w:ascii="宋体" w:hAnsi="宋体" w:cs="仿宋"/>
          <w:color w:val="auto"/>
          <w:sz w:val="24"/>
          <w:szCs w:val="24"/>
          <w:highlight w:val="none"/>
          <w:u w:val="single"/>
        </w:rPr>
        <w:t xml:space="preserve">    </w:t>
      </w:r>
    </w:p>
    <w:p w14:paraId="38B2A154">
      <w:pPr>
        <w:spacing w:line="360" w:lineRule="auto"/>
        <w:ind w:firstLine="480" w:firstLineChars="200"/>
        <w:rPr>
          <w:rFonts w:hint="eastAsia" w:ascii="宋体" w:hAnsi="宋体"/>
          <w:color w:val="auto"/>
          <w:sz w:val="24"/>
          <w:szCs w:val="24"/>
          <w:highlight w:val="none"/>
        </w:rPr>
      </w:pPr>
    </w:p>
    <w:p w14:paraId="37E3DDD8">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本协议书各方遵循平等、自愿、公平和诚实信用的原则，共同愿意组成联合体，实施、完成工程总承包工作内容并保修合同工程。现就下列有关事宜，订立本协议书。</w:t>
      </w:r>
    </w:p>
    <w:p w14:paraId="3BC28880">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1.  </w:t>
      </w:r>
      <w:r>
        <w:rPr>
          <w:rFonts w:hint="eastAsia" w:ascii="宋体" w:hAnsi="宋体" w:cs="仿宋"/>
          <w:color w:val="auto"/>
          <w:sz w:val="24"/>
          <w:szCs w:val="24"/>
          <w:highlight w:val="none"/>
          <w:u w:val="single"/>
        </w:rPr>
        <w:t>（                ）</w:t>
      </w:r>
      <w:r>
        <w:rPr>
          <w:rFonts w:hint="eastAsia" w:ascii="宋体" w:hAnsi="宋体" w:cs="仿宋"/>
          <w:color w:val="auto"/>
          <w:sz w:val="24"/>
          <w:szCs w:val="24"/>
          <w:highlight w:val="none"/>
        </w:rPr>
        <w:t>为联合体牵头人，</w:t>
      </w:r>
      <w:r>
        <w:rPr>
          <w:rFonts w:hint="eastAsia" w:ascii="宋体" w:hAnsi="宋体" w:cs="仿宋"/>
          <w:color w:val="auto"/>
          <w:sz w:val="24"/>
          <w:szCs w:val="24"/>
          <w:highlight w:val="none"/>
          <w:u w:val="single"/>
        </w:rPr>
        <w:t>（              ）</w:t>
      </w:r>
      <w:r>
        <w:rPr>
          <w:rFonts w:hint="eastAsia" w:ascii="宋体" w:hAnsi="宋体" w:cs="仿宋"/>
          <w:color w:val="auto"/>
          <w:sz w:val="24"/>
          <w:szCs w:val="24"/>
          <w:highlight w:val="none"/>
        </w:rPr>
        <w:t>为联合体成员；</w:t>
      </w:r>
    </w:p>
    <w:p w14:paraId="30FB78F5">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2.  联合体各成员单位对内部有关事项约定如下：</w:t>
      </w:r>
    </w:p>
    <w:p w14:paraId="3A5C1C68">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2.1  联合体由牵头人负责与发包人联系；</w:t>
      </w:r>
    </w:p>
    <w:p w14:paraId="7ABA8D9B">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2.2  合同工程一切工作由联合体牵头人负责组织、管理，由联合体各成员单位按内部工作分范围具体实施，并服从联合体牵头人的管理；</w:t>
      </w:r>
    </w:p>
    <w:p w14:paraId="61D76C9E">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2.4  联合体各成员单位将严格按照招标文件的各项要求，切实执行合同工程一切合同工程文件，共同承担合同约定的一切义务，同时按照内部工作范围划分的职责，各自承担自身的责任和风险，但不免除承担联合体牵头人或其他成员单位造成的连带责任；</w:t>
      </w:r>
    </w:p>
    <w:p w14:paraId="206EC63D">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2.5  联合体各成员单位的内部工作范围划分如下：</w:t>
      </w:r>
    </w:p>
    <w:p w14:paraId="54B7C7A8">
      <w:pPr>
        <w:spacing w:line="360" w:lineRule="auto"/>
        <w:ind w:firstLine="480" w:firstLineChars="200"/>
        <w:rPr>
          <w:rFonts w:hint="eastAsia" w:ascii="宋体" w:hAnsi="宋体" w:cs="仿宋"/>
          <w:color w:val="auto"/>
          <w:sz w:val="24"/>
          <w:szCs w:val="24"/>
          <w:highlight w:val="none"/>
          <w:lang w:val="zh-CN"/>
        </w:rPr>
      </w:pPr>
      <w:r>
        <w:rPr>
          <w:rFonts w:hint="eastAsia" w:ascii="宋体" w:hAnsi="宋体" w:cs="仿宋"/>
          <w:color w:val="auto"/>
          <w:sz w:val="24"/>
          <w:szCs w:val="24"/>
          <w:highlight w:val="none"/>
        </w:rPr>
        <w:t>2.5.1</w:t>
      </w:r>
      <w:r>
        <w:rPr>
          <w:rFonts w:hint="eastAsia" w:ascii="宋体" w:hAnsi="宋体" w:cs="仿宋"/>
          <w:color w:val="auto"/>
          <w:sz w:val="24"/>
          <w:szCs w:val="24"/>
          <w:highlight w:val="none"/>
          <w:lang w:val="zh-CN"/>
        </w:rPr>
        <w:t>（</w:t>
      </w: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u w:val="single"/>
        </w:rPr>
        <w:t xml:space="preserve">牵头单位     </w:t>
      </w:r>
      <w:r>
        <w:rPr>
          <w:rFonts w:hint="eastAsia" w:ascii="宋体" w:hAnsi="宋体" w:cs="仿宋"/>
          <w:color w:val="auto"/>
          <w:sz w:val="24"/>
          <w:szCs w:val="24"/>
          <w:highlight w:val="none"/>
          <w:lang w:val="zh-CN"/>
        </w:rPr>
        <w:t>）承担合同工程工作内容：</w:t>
      </w:r>
      <w:r>
        <w:rPr>
          <w:rFonts w:hint="eastAsia" w:ascii="宋体" w:hAnsi="宋体" w:cs="仿宋"/>
          <w:color w:val="auto"/>
          <w:sz w:val="24"/>
          <w:szCs w:val="24"/>
          <w:highlight w:val="none"/>
          <w:u w:val="single"/>
        </w:rPr>
        <w:t>主要负责本工程的施工工作及总承包管理、协调工作，具体按合同要求。</w:t>
      </w:r>
    </w:p>
    <w:p w14:paraId="29736C66">
      <w:pPr>
        <w:spacing w:line="360" w:lineRule="auto"/>
        <w:ind w:firstLine="480" w:firstLineChars="200"/>
        <w:rPr>
          <w:rFonts w:hint="eastAsia" w:ascii="宋体" w:hAnsi="宋体"/>
          <w:color w:val="auto"/>
          <w:sz w:val="24"/>
          <w:szCs w:val="24"/>
          <w:highlight w:val="none"/>
          <w:lang w:val="zh-CN"/>
        </w:rPr>
      </w:pPr>
      <w:r>
        <w:rPr>
          <w:rFonts w:hint="eastAsia" w:ascii="宋体" w:hAnsi="宋体" w:cs="仿宋"/>
          <w:color w:val="auto"/>
          <w:sz w:val="24"/>
          <w:szCs w:val="24"/>
          <w:highlight w:val="none"/>
        </w:rPr>
        <w:t>2.5.2</w:t>
      </w:r>
      <w:r>
        <w:rPr>
          <w:rFonts w:hint="eastAsia" w:ascii="宋体" w:hAnsi="宋体" w:cs="仿宋"/>
          <w:color w:val="auto"/>
          <w:sz w:val="24"/>
          <w:szCs w:val="24"/>
          <w:highlight w:val="none"/>
          <w:lang w:val="zh-CN"/>
        </w:rPr>
        <w:t>（</w:t>
      </w:r>
      <w:r>
        <w:rPr>
          <w:rFonts w:hint="eastAsia" w:ascii="宋体" w:hAnsi="宋体" w:cs="仿宋"/>
          <w:color w:val="auto"/>
          <w:sz w:val="24"/>
          <w:szCs w:val="24"/>
          <w:highlight w:val="none"/>
          <w:u w:val="single"/>
        </w:rPr>
        <w:t xml:space="preserve">     成员单位     </w:t>
      </w:r>
      <w:r>
        <w:rPr>
          <w:rFonts w:hint="eastAsia" w:ascii="宋体" w:hAnsi="宋体" w:cs="仿宋"/>
          <w:color w:val="auto"/>
          <w:sz w:val="24"/>
          <w:szCs w:val="24"/>
          <w:highlight w:val="none"/>
          <w:lang w:val="zh-CN"/>
        </w:rPr>
        <w:t>）承担合同工程工作内容：</w:t>
      </w:r>
      <w:r>
        <w:rPr>
          <w:rFonts w:hint="eastAsia" w:ascii="宋体" w:hAnsi="宋体" w:cs="仿宋"/>
          <w:color w:val="auto"/>
          <w:sz w:val="24"/>
          <w:szCs w:val="24"/>
          <w:highlight w:val="none"/>
          <w:u w:val="single"/>
        </w:rPr>
        <w:t>主要负责本工程管线迁改的设计工作，具体按合同要求。</w:t>
      </w:r>
    </w:p>
    <w:p w14:paraId="4C123BE7">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2.5.3</w:t>
      </w:r>
      <w:r>
        <w:rPr>
          <w:rFonts w:hint="eastAsia" w:ascii="宋体" w:hAnsi="宋体" w:cs="仿宋"/>
          <w:color w:val="auto"/>
          <w:sz w:val="24"/>
          <w:szCs w:val="24"/>
          <w:highlight w:val="none"/>
          <w:lang w:val="zh-CN"/>
        </w:rPr>
        <w:t>（</w:t>
      </w:r>
      <w:r>
        <w:rPr>
          <w:rFonts w:hint="eastAsia" w:ascii="宋体" w:hAnsi="宋体" w:cs="仿宋"/>
          <w:color w:val="auto"/>
          <w:sz w:val="24"/>
          <w:szCs w:val="24"/>
          <w:highlight w:val="none"/>
        </w:rPr>
        <w:t xml:space="preserve">     成员单位    </w:t>
      </w:r>
      <w:r>
        <w:rPr>
          <w:rFonts w:hint="eastAsia" w:ascii="宋体" w:hAnsi="宋体" w:cs="仿宋"/>
          <w:color w:val="auto"/>
          <w:sz w:val="24"/>
          <w:szCs w:val="24"/>
          <w:highlight w:val="none"/>
          <w:lang w:val="zh-CN"/>
        </w:rPr>
        <w:t>）承担合同工程工作内容：</w:t>
      </w:r>
      <w:r>
        <w:rPr>
          <w:rFonts w:hint="eastAsia" w:ascii="宋体" w:hAnsi="宋体" w:cs="仿宋"/>
          <w:color w:val="auto"/>
          <w:sz w:val="24"/>
          <w:szCs w:val="24"/>
          <w:highlight w:val="none"/>
          <w:u w:val="single"/>
        </w:rPr>
        <w:t>主要负责本工程市政基础设施区域统筹实施规划范围与任务，具体按合同要求。</w:t>
      </w:r>
    </w:p>
    <w:p w14:paraId="7290E541">
      <w:pPr>
        <w:spacing w:line="360" w:lineRule="auto"/>
        <w:ind w:firstLine="480" w:firstLineChars="200"/>
        <w:rPr>
          <w:rFonts w:hint="eastAsia" w:ascii="宋体" w:hAnsi="宋体"/>
          <w:color w:val="auto"/>
          <w:sz w:val="24"/>
          <w:szCs w:val="24"/>
          <w:highlight w:val="none"/>
          <w:lang w:val="zh-CN"/>
        </w:rPr>
      </w:pPr>
      <w:r>
        <w:rPr>
          <w:rFonts w:hint="eastAsia" w:ascii="宋体" w:hAnsi="宋体" w:cs="仿宋"/>
          <w:color w:val="auto"/>
          <w:sz w:val="24"/>
          <w:szCs w:val="24"/>
          <w:highlight w:val="none"/>
        </w:rPr>
        <w:t xml:space="preserve">2.6  </w:t>
      </w:r>
      <w:r>
        <w:rPr>
          <w:rFonts w:hint="eastAsia" w:ascii="宋体" w:hAnsi="宋体" w:cs="仿宋"/>
          <w:color w:val="auto"/>
          <w:sz w:val="24"/>
          <w:szCs w:val="24"/>
          <w:highlight w:val="none"/>
          <w:lang w:val="zh-CN"/>
        </w:rPr>
        <w:t>联合体各</w:t>
      </w:r>
      <w:r>
        <w:rPr>
          <w:rFonts w:hint="eastAsia" w:ascii="宋体" w:hAnsi="宋体" w:cs="仿宋"/>
          <w:color w:val="auto"/>
          <w:sz w:val="24"/>
          <w:szCs w:val="24"/>
          <w:highlight w:val="none"/>
        </w:rPr>
        <w:t>成员单位</w:t>
      </w:r>
      <w:r>
        <w:rPr>
          <w:rFonts w:hint="eastAsia" w:ascii="宋体" w:hAnsi="宋体" w:cs="仿宋"/>
          <w:color w:val="auto"/>
          <w:sz w:val="24"/>
          <w:szCs w:val="24"/>
          <w:highlight w:val="none"/>
          <w:lang w:val="zh-CN"/>
        </w:rPr>
        <w:t>对合同工程的其他约定：</w:t>
      </w:r>
      <w:r>
        <w:rPr>
          <w:rFonts w:hint="eastAsia" w:ascii="宋体" w:hAnsi="宋体" w:cs="仿宋"/>
          <w:color w:val="auto"/>
          <w:sz w:val="24"/>
          <w:szCs w:val="24"/>
          <w:highlight w:val="none"/>
          <w:u w:val="single"/>
        </w:rPr>
        <w:t xml:space="preserve">           /              </w:t>
      </w:r>
    </w:p>
    <w:p w14:paraId="3BB7F4BC">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2.7  </w:t>
      </w:r>
      <w:r>
        <w:rPr>
          <w:rFonts w:hint="eastAsia" w:ascii="宋体" w:hAnsi="宋体" w:cs="仿宋"/>
          <w:color w:val="auto"/>
          <w:sz w:val="24"/>
          <w:szCs w:val="24"/>
          <w:highlight w:val="none"/>
          <w:lang w:val="zh-CN"/>
        </w:rPr>
        <w:t>联合体各成员单位在合同工程实施过程中的有关费用，按各自承担的工作量所占比例分摊，或由联合体各成员单位具体协商确定。</w:t>
      </w:r>
    </w:p>
    <w:p w14:paraId="1B34AF89">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3.  </w:t>
      </w:r>
      <w:r>
        <w:rPr>
          <w:rFonts w:hint="eastAsia" w:ascii="宋体" w:hAnsi="宋体" w:cs="仿宋"/>
          <w:color w:val="auto"/>
          <w:sz w:val="24"/>
          <w:szCs w:val="24"/>
          <w:highlight w:val="none"/>
          <w:lang w:val="zh-CN"/>
        </w:rPr>
        <w:t>本协议书签署后，联合体牵头人应将本协议书及时送交发包人和设计顾问人、监理人、造价咨询人。</w:t>
      </w:r>
    </w:p>
    <w:p w14:paraId="4F3EC913">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4.  本协议书自签署之日起生效，至各成员单位履行完工程总承包合同全部义务后自行失效，并随工程总承包合同的终止而终止；</w:t>
      </w:r>
    </w:p>
    <w:p w14:paraId="36B4C17C">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5.  </w:t>
      </w:r>
      <w:r>
        <w:rPr>
          <w:rFonts w:hint="eastAsia" w:ascii="宋体" w:hAnsi="宋体" w:cs="仿宋"/>
          <w:color w:val="auto"/>
          <w:sz w:val="24"/>
          <w:szCs w:val="24"/>
          <w:highlight w:val="none"/>
          <w:lang w:val="zh-CN"/>
        </w:rPr>
        <w:t>本协议书正本与副本具有同等效力，当正本与副本不一致时，以正本为准。</w:t>
      </w:r>
    </w:p>
    <w:p w14:paraId="4F6F74E2">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lang w:eastAsia="zh"/>
        </w:rPr>
        <w:t>本协议一式 </w:t>
      </w:r>
      <w:r>
        <w:rPr>
          <w:rFonts w:ascii="宋体" w:hAnsi="宋体" w:cs="仿宋"/>
          <w:color w:val="auto"/>
          <w:sz w:val="24"/>
          <w:szCs w:val="24"/>
          <w:highlight w:val="none"/>
          <w:u w:val="single"/>
          <w:lang w:eastAsia="zh"/>
        </w:rPr>
        <w:t xml:space="preserve">   </w:t>
      </w:r>
      <w:r>
        <w:rPr>
          <w:rFonts w:hint="eastAsia" w:ascii="宋体" w:hAnsi="宋体" w:cs="仿宋"/>
          <w:color w:val="auto"/>
          <w:sz w:val="24"/>
          <w:szCs w:val="24"/>
          <w:highlight w:val="none"/>
          <w:lang w:eastAsia="zh"/>
        </w:rPr>
        <w:t> 份，其中发包人执</w:t>
      </w:r>
      <w:r>
        <w:rPr>
          <w:rFonts w:hint="eastAsia" w:ascii="宋体" w:hAnsi="宋体" w:cs="仿宋"/>
          <w:color w:val="auto"/>
          <w:sz w:val="24"/>
          <w:szCs w:val="24"/>
          <w:highlight w:val="none"/>
          <w:u w:val="single"/>
          <w:lang w:eastAsia="zh"/>
        </w:rPr>
        <w:t> </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lang w:eastAsia="zh"/>
        </w:rPr>
        <w:t xml:space="preserve"> 份、承包人（联合体主办）执</w:t>
      </w:r>
      <w:r>
        <w:rPr>
          <w:rFonts w:ascii="宋体" w:hAnsi="宋体" w:cs="仿宋"/>
          <w:color w:val="auto"/>
          <w:sz w:val="24"/>
          <w:szCs w:val="24"/>
          <w:highlight w:val="none"/>
          <w:u w:val="single"/>
          <w:lang w:eastAsia="zh"/>
        </w:rPr>
        <w:t xml:space="preserve">   </w:t>
      </w:r>
      <w:r>
        <w:rPr>
          <w:rFonts w:hint="eastAsia" w:ascii="宋体" w:hAnsi="宋体" w:cs="仿宋"/>
          <w:color w:val="auto"/>
          <w:sz w:val="24"/>
          <w:szCs w:val="24"/>
          <w:highlight w:val="none"/>
          <w:lang w:eastAsia="zh"/>
        </w:rPr>
        <w:t>份，承包人（联合体成员）执</w:t>
      </w:r>
      <w:r>
        <w:rPr>
          <w:rFonts w:ascii="宋体" w:hAnsi="宋体" w:cs="仿宋"/>
          <w:color w:val="auto"/>
          <w:sz w:val="24"/>
          <w:szCs w:val="24"/>
          <w:highlight w:val="none"/>
          <w:u w:val="single"/>
          <w:lang w:eastAsia="zh"/>
        </w:rPr>
        <w:t xml:space="preserve">  </w:t>
      </w:r>
      <w:r>
        <w:rPr>
          <w:rFonts w:hint="eastAsia" w:ascii="宋体" w:hAnsi="宋体" w:cs="仿宋"/>
          <w:color w:val="auto"/>
          <w:sz w:val="24"/>
          <w:szCs w:val="24"/>
          <w:highlight w:val="none"/>
          <w:lang w:eastAsia="zh"/>
        </w:rPr>
        <w:t>份</w:t>
      </w:r>
      <w:r>
        <w:rPr>
          <w:rFonts w:hint="eastAsia" w:ascii="宋体" w:hAnsi="宋体" w:cs="仿宋"/>
          <w:color w:val="auto"/>
          <w:sz w:val="24"/>
          <w:szCs w:val="24"/>
          <w:highlight w:val="none"/>
        </w:rPr>
        <w:t>。</w:t>
      </w:r>
    </w:p>
    <w:p w14:paraId="01E3DCD8">
      <w:pPr>
        <w:spacing w:line="360" w:lineRule="auto"/>
        <w:ind w:firstLine="480" w:firstLineChars="200"/>
        <w:rPr>
          <w:rFonts w:hint="eastAsia" w:ascii="宋体" w:hAnsi="宋体" w:cs="仿宋"/>
          <w:color w:val="auto"/>
          <w:sz w:val="24"/>
          <w:szCs w:val="24"/>
          <w:highlight w:val="none"/>
        </w:rPr>
      </w:pPr>
    </w:p>
    <w:p w14:paraId="1D9BFCAC">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（以下无正文）</w:t>
      </w:r>
    </w:p>
    <w:p w14:paraId="043920CA">
      <w:pPr>
        <w:spacing w:line="360" w:lineRule="auto"/>
        <w:ind w:firstLine="480" w:firstLineChars="200"/>
        <w:rPr>
          <w:rFonts w:hint="eastAsia" w:ascii="宋体" w:hAnsi="宋体"/>
          <w:color w:val="auto"/>
          <w:sz w:val="24"/>
          <w:szCs w:val="24"/>
          <w:highlight w:val="none"/>
        </w:rPr>
      </w:pPr>
    </w:p>
    <w:p w14:paraId="1EABA8BF">
      <w:pPr>
        <w:spacing w:line="360" w:lineRule="auto"/>
        <w:ind w:firstLine="480" w:firstLineChars="200"/>
        <w:rPr>
          <w:rFonts w:hint="eastAsia" w:ascii="宋体" w:hAnsi="宋体"/>
          <w:color w:val="auto"/>
          <w:sz w:val="24"/>
          <w:szCs w:val="24"/>
          <w:highlight w:val="none"/>
        </w:rPr>
      </w:pPr>
    </w:p>
    <w:p w14:paraId="3A75662D">
      <w:pPr>
        <w:pStyle w:val="16"/>
        <w:spacing w:line="360" w:lineRule="auto"/>
        <w:ind w:firstLine="480" w:firstLineChars="200"/>
        <w:rPr>
          <w:rFonts w:hint="eastAsia" w:hAnsi="宋体"/>
          <w:color w:val="auto"/>
          <w:sz w:val="24"/>
          <w:szCs w:val="24"/>
          <w:highlight w:val="none"/>
        </w:rPr>
      </w:pPr>
    </w:p>
    <w:p w14:paraId="44DDAE6E">
      <w:pPr>
        <w:spacing w:line="360" w:lineRule="auto"/>
        <w:ind w:firstLine="480" w:firstLineChars="200"/>
        <w:rPr>
          <w:rFonts w:hint="eastAsia" w:ascii="宋体" w:hAnsi="宋体"/>
          <w:color w:val="auto"/>
          <w:sz w:val="24"/>
          <w:szCs w:val="24"/>
          <w:highlight w:val="none"/>
        </w:rPr>
      </w:pPr>
    </w:p>
    <w:p w14:paraId="077982E3">
      <w:pPr>
        <w:pStyle w:val="16"/>
        <w:spacing w:line="360" w:lineRule="auto"/>
        <w:ind w:firstLine="400" w:firstLineChars="200"/>
        <w:rPr>
          <w:rFonts w:hint="eastAsia" w:hAnsi="宋体"/>
          <w:color w:val="auto"/>
          <w:highlight w:val="none"/>
        </w:rPr>
      </w:pPr>
    </w:p>
    <w:p w14:paraId="5B9EF888">
      <w:pPr>
        <w:pStyle w:val="16"/>
        <w:spacing w:line="360" w:lineRule="auto"/>
        <w:ind w:firstLine="480" w:firstLineChars="200"/>
        <w:rPr>
          <w:rFonts w:hint="eastAsia" w:hAnsi="宋体"/>
          <w:color w:val="auto"/>
          <w:sz w:val="24"/>
          <w:szCs w:val="24"/>
          <w:highlight w:val="none"/>
        </w:rPr>
      </w:pPr>
    </w:p>
    <w:p w14:paraId="3E42D67A">
      <w:pPr>
        <w:spacing w:line="360" w:lineRule="auto"/>
        <w:rPr>
          <w:rFonts w:hint="eastAsia" w:ascii="宋体" w:hAnsi="宋体"/>
          <w:color w:val="auto"/>
          <w:sz w:val="24"/>
          <w:szCs w:val="24"/>
          <w:highlight w:val="none"/>
        </w:rPr>
      </w:pPr>
      <w:r>
        <w:rPr>
          <w:rFonts w:hint="eastAsia" w:ascii="宋体" w:hAnsi="宋体" w:cs="仿宋"/>
          <w:color w:val="auto"/>
          <w:sz w:val="24"/>
          <w:szCs w:val="24"/>
          <w:highlight w:val="none"/>
        </w:rPr>
        <w:t xml:space="preserve">联合体牵头人单位名称：（盖章）             成员单位名称：（盖章）                            </w:t>
      </w:r>
    </w:p>
    <w:p w14:paraId="252ACF3A">
      <w:pPr>
        <w:spacing w:line="360" w:lineRule="auto"/>
        <w:rPr>
          <w:rFonts w:hint="eastAsia" w:ascii="宋体" w:hAnsi="宋体"/>
          <w:color w:val="auto"/>
          <w:sz w:val="24"/>
          <w:szCs w:val="24"/>
          <w:highlight w:val="none"/>
        </w:rPr>
      </w:pPr>
      <w:r>
        <w:rPr>
          <w:rFonts w:hint="eastAsia" w:ascii="宋体" w:hAnsi="宋体" w:cs="仿宋"/>
          <w:color w:val="auto"/>
          <w:sz w:val="24"/>
          <w:szCs w:val="24"/>
          <w:highlight w:val="none"/>
        </w:rPr>
        <w:t>法定代表人：（签字）                        法定代表人：（签字）</w:t>
      </w:r>
    </w:p>
    <w:p w14:paraId="765CB3CB">
      <w:pPr>
        <w:spacing w:line="360" w:lineRule="auto"/>
        <w:rPr>
          <w:rFonts w:hint="eastAsia" w:ascii="宋体" w:hAnsi="宋体"/>
          <w:color w:val="auto"/>
          <w:sz w:val="24"/>
          <w:szCs w:val="24"/>
          <w:highlight w:val="none"/>
        </w:rPr>
      </w:pPr>
      <w:r>
        <w:rPr>
          <w:rFonts w:hint="eastAsia" w:ascii="宋体" w:hAnsi="宋体" w:cs="仿宋"/>
          <w:color w:val="auto"/>
          <w:sz w:val="24"/>
          <w:szCs w:val="24"/>
          <w:highlight w:val="none"/>
        </w:rPr>
        <w:t>委托代理人：（签字）/                        委托代理人：（签字）</w:t>
      </w:r>
    </w:p>
    <w:p w14:paraId="538FD6A6">
      <w:pPr>
        <w:spacing w:line="360" w:lineRule="auto"/>
        <w:rPr>
          <w:rFonts w:hint="eastAsia" w:ascii="宋体" w:hAnsi="宋体" w:cs="仿宋"/>
          <w:color w:val="auto"/>
          <w:sz w:val="24"/>
          <w:szCs w:val="24"/>
          <w:highlight w:val="none"/>
          <w:u w:val="single"/>
        </w:rPr>
      </w:pP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联系电话：</w:t>
      </w:r>
      <w:r>
        <w:rPr>
          <w:rFonts w:hint="eastAsia" w:ascii="宋体" w:hAnsi="宋体" w:cs="仿宋"/>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s="仿宋"/>
          <w:color w:val="auto"/>
          <w:sz w:val="24"/>
          <w:szCs w:val="24"/>
          <w:highlight w:val="none"/>
          <w:u w:val="single"/>
        </w:rPr>
        <w:t xml:space="preserve">   </w:t>
      </w:r>
    </w:p>
    <w:p w14:paraId="502A8DA6">
      <w:pPr>
        <w:spacing w:line="360" w:lineRule="auto"/>
        <w:rPr>
          <w:rFonts w:hint="eastAsia" w:ascii="宋体" w:hAnsi="宋体"/>
          <w:color w:val="auto"/>
          <w:sz w:val="24"/>
          <w:szCs w:val="24"/>
          <w:highlight w:val="none"/>
        </w:rPr>
      </w:pP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年</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月</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日                 </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年</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月</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日</w:t>
      </w:r>
    </w:p>
    <w:p w14:paraId="0B88F000">
      <w:pPr>
        <w:spacing w:line="360" w:lineRule="auto"/>
        <w:ind w:firstLine="480" w:firstLineChars="200"/>
        <w:rPr>
          <w:rFonts w:hint="eastAsia" w:ascii="宋体" w:hAnsi="宋体" w:cs="仿宋"/>
          <w:color w:val="auto"/>
          <w:sz w:val="24"/>
          <w:szCs w:val="24"/>
          <w:highlight w:val="none"/>
        </w:rPr>
      </w:pPr>
    </w:p>
    <w:p w14:paraId="1F6BE98C">
      <w:pPr>
        <w:spacing w:line="360" w:lineRule="auto"/>
        <w:rPr>
          <w:rFonts w:hint="eastAsia" w:ascii="宋体" w:hAnsi="宋体"/>
          <w:color w:val="auto"/>
          <w:sz w:val="24"/>
          <w:szCs w:val="24"/>
          <w:highlight w:val="none"/>
        </w:rPr>
      </w:pPr>
      <w:r>
        <w:rPr>
          <w:rFonts w:hint="eastAsia" w:ascii="宋体" w:hAnsi="宋体" w:cs="仿宋"/>
          <w:color w:val="auto"/>
          <w:sz w:val="24"/>
          <w:szCs w:val="24"/>
          <w:highlight w:val="none"/>
        </w:rPr>
        <w:t xml:space="preserve">成员单位名称：（盖章）                      </w:t>
      </w:r>
    </w:p>
    <w:p w14:paraId="09EB6685">
      <w:pPr>
        <w:spacing w:line="360" w:lineRule="auto"/>
        <w:rPr>
          <w:rFonts w:hint="eastAsia" w:ascii="宋体" w:hAnsi="宋体"/>
          <w:color w:val="auto"/>
          <w:sz w:val="24"/>
          <w:szCs w:val="24"/>
          <w:highlight w:val="none"/>
        </w:rPr>
      </w:pPr>
      <w:r>
        <w:rPr>
          <w:rFonts w:hint="eastAsia" w:ascii="宋体" w:hAnsi="宋体" w:cs="仿宋"/>
          <w:color w:val="auto"/>
          <w:sz w:val="24"/>
          <w:szCs w:val="24"/>
          <w:highlight w:val="none"/>
        </w:rPr>
        <w:t xml:space="preserve">法定代表人：（签字）                      </w:t>
      </w:r>
    </w:p>
    <w:p w14:paraId="26C8BACF">
      <w:pPr>
        <w:spacing w:line="360" w:lineRule="auto"/>
        <w:rPr>
          <w:rFonts w:hint="eastAsia" w:ascii="宋体" w:hAnsi="宋体"/>
          <w:color w:val="auto"/>
          <w:sz w:val="24"/>
          <w:szCs w:val="24"/>
          <w:highlight w:val="none"/>
        </w:rPr>
      </w:pPr>
      <w:r>
        <w:rPr>
          <w:rFonts w:hint="eastAsia" w:ascii="宋体" w:hAnsi="宋体" w:cs="仿宋"/>
          <w:color w:val="auto"/>
          <w:sz w:val="24"/>
          <w:szCs w:val="24"/>
          <w:highlight w:val="none"/>
        </w:rPr>
        <w:t xml:space="preserve">委托代理人：（签字）                        </w:t>
      </w:r>
    </w:p>
    <w:p w14:paraId="7DB35D67">
      <w:pPr>
        <w:spacing w:line="360" w:lineRule="auto"/>
        <w:rPr>
          <w:rFonts w:hint="eastAsia" w:ascii="宋体" w:hAnsi="宋体" w:cs="仿宋"/>
          <w:color w:val="auto"/>
          <w:sz w:val="24"/>
          <w:szCs w:val="24"/>
          <w:highlight w:val="none"/>
          <w:u w:val="single"/>
        </w:rPr>
      </w:pP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single"/>
        </w:rPr>
        <w:t xml:space="preserve">  </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w:t>
      </w:r>
    </w:p>
    <w:p w14:paraId="20817003">
      <w:pPr>
        <w:widowControl/>
        <w:spacing w:line="360" w:lineRule="auto"/>
        <w:rPr>
          <w:rFonts w:hint="eastAsia" w:ascii="宋体" w:hAnsi="宋体" w:cs="宋体"/>
          <w:b/>
          <w:bCs/>
          <w:color w:val="auto"/>
          <w:sz w:val="32"/>
          <w:szCs w:val="28"/>
          <w:highlight w:val="none"/>
        </w:rPr>
      </w:pP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年</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月</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日</w:t>
      </w:r>
    </w:p>
    <w:p w14:paraId="4E37E770">
      <w:pPr>
        <w:widowControl/>
        <w:jc w:val="left"/>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br w:type="page"/>
      </w:r>
    </w:p>
    <w:p w14:paraId="789FCD58">
      <w:pPr>
        <w:spacing w:line="360" w:lineRule="auto"/>
        <w:jc w:val="left"/>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附件二：</w:t>
      </w:r>
    </w:p>
    <w:p w14:paraId="381F63C5">
      <w:pPr>
        <w:spacing w:line="360" w:lineRule="auto"/>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廉政合同</w:t>
      </w:r>
    </w:p>
    <w:p w14:paraId="274359B4">
      <w:pPr>
        <w:spacing w:line="360" w:lineRule="auto"/>
        <w:jc w:val="center"/>
        <w:rPr>
          <w:rFonts w:hint="eastAsia" w:ascii="宋体" w:hAnsi="宋体" w:cs="宋体"/>
          <w:b/>
          <w:bCs/>
          <w:color w:val="auto"/>
          <w:sz w:val="24"/>
          <w:highlight w:val="none"/>
        </w:rPr>
      </w:pPr>
    </w:p>
    <w:p w14:paraId="5DD51FC3">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甲方：</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p w14:paraId="54305FB8">
      <w:pPr>
        <w:spacing w:line="360" w:lineRule="auto"/>
        <w:ind w:firstLine="480" w:firstLineChars="200"/>
        <w:rPr>
          <w:rFonts w:hint="eastAsia" w:ascii="宋体" w:hAnsi="宋体" w:cs="宋体"/>
          <w:b/>
          <w:snapToGrid w:val="0"/>
          <w:color w:val="auto"/>
          <w:kern w:val="13"/>
          <w:sz w:val="24"/>
          <w:highlight w:val="none"/>
        </w:rPr>
      </w:pPr>
      <w:r>
        <w:rPr>
          <w:rFonts w:hint="eastAsia" w:ascii="宋体" w:hAnsi="宋体" w:cs="宋体"/>
          <w:b/>
          <w:snapToGrid w:val="0"/>
          <w:color w:val="auto"/>
          <w:kern w:val="13"/>
          <w:sz w:val="24"/>
          <w:highlight w:val="none"/>
        </w:rPr>
        <w:t xml:space="preserve">乙方(主)： </w:t>
      </w:r>
      <w:r>
        <w:rPr>
          <w:rFonts w:hint="eastAsia" w:ascii="宋体" w:hAnsi="宋体" w:cs="宋体"/>
          <w:b/>
          <w:bCs/>
          <w:color w:val="auto"/>
          <w:sz w:val="24"/>
          <w:highlight w:val="none"/>
          <w:u w:val="single"/>
        </w:rPr>
        <w:t xml:space="preserve">                         </w:t>
      </w:r>
    </w:p>
    <w:p w14:paraId="36739D11">
      <w:pPr>
        <w:spacing w:line="360" w:lineRule="auto"/>
        <w:ind w:firstLine="480" w:firstLineChars="200"/>
        <w:rPr>
          <w:rFonts w:hint="eastAsia" w:ascii="宋体" w:hAnsi="宋体" w:cs="宋体"/>
          <w:b/>
          <w:bCs/>
          <w:color w:val="auto"/>
          <w:sz w:val="24"/>
          <w:highlight w:val="none"/>
          <w:u w:val="single"/>
        </w:rPr>
      </w:pPr>
      <w:r>
        <w:rPr>
          <w:rFonts w:hint="eastAsia" w:ascii="宋体" w:hAnsi="宋体" w:cs="宋体"/>
          <w:b/>
          <w:snapToGrid w:val="0"/>
          <w:color w:val="auto"/>
          <w:kern w:val="13"/>
          <w:sz w:val="24"/>
          <w:highlight w:val="none"/>
        </w:rPr>
        <w:t>乙方(成)：</w:t>
      </w:r>
      <w:r>
        <w:rPr>
          <w:rFonts w:hint="eastAsia" w:ascii="宋体" w:hAnsi="宋体" w:cs="宋体"/>
          <w:b/>
          <w:bCs/>
          <w:color w:val="auto"/>
          <w:sz w:val="24"/>
          <w:highlight w:val="none"/>
          <w:u w:val="single"/>
        </w:rPr>
        <w:t xml:space="preserve">                         </w:t>
      </w:r>
    </w:p>
    <w:p w14:paraId="7192FFF7">
      <w:pPr>
        <w:spacing w:line="360" w:lineRule="auto"/>
        <w:ind w:firstLine="480" w:firstLineChars="200"/>
        <w:rPr>
          <w:rFonts w:hint="eastAsia" w:ascii="宋体" w:hAnsi="宋体" w:cs="宋体"/>
          <w:b/>
          <w:snapToGrid w:val="0"/>
          <w:color w:val="auto"/>
          <w:kern w:val="13"/>
          <w:sz w:val="24"/>
          <w:highlight w:val="none"/>
        </w:rPr>
      </w:pPr>
      <w:r>
        <w:rPr>
          <w:rFonts w:hint="eastAsia" w:ascii="宋体" w:hAnsi="宋体" w:cs="宋体"/>
          <w:b/>
          <w:snapToGrid w:val="0"/>
          <w:color w:val="auto"/>
          <w:kern w:val="13"/>
          <w:sz w:val="24"/>
          <w:highlight w:val="none"/>
        </w:rPr>
        <w:t>乙方(成)：</w:t>
      </w:r>
      <w:r>
        <w:rPr>
          <w:rFonts w:hint="eastAsia" w:ascii="宋体" w:hAnsi="宋体" w:cs="宋体"/>
          <w:b/>
          <w:bCs/>
          <w:color w:val="auto"/>
          <w:sz w:val="24"/>
          <w:highlight w:val="none"/>
          <w:u w:val="single"/>
        </w:rPr>
        <w:t xml:space="preserve">                         </w:t>
      </w:r>
    </w:p>
    <w:p w14:paraId="2AB6B5D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根据国家、省工程建设和廉政建设的有关规定，为做好合同工程的廉政建设，保证工程质量与施工安全，提高建设资金的有效使用和投资效益，甲方和乙方就加强合同工程的廉政建设，订立本合同。</w:t>
      </w:r>
    </w:p>
    <w:p w14:paraId="3E6AD32B">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1  双方权利和义务</w:t>
      </w:r>
    </w:p>
    <w:p w14:paraId="2333FF3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  严格遵守国家有关法律法规的规定。</w:t>
      </w:r>
    </w:p>
    <w:p w14:paraId="1CD2148E">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1.2  严格执行一切合同文件，自觉按合同办事。</w:t>
      </w:r>
    </w:p>
    <w:p w14:paraId="426B5AE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  双方的业务活动坚持公平、公开、公正和诚信的原则（法律认定的商业秘密和合同文件另有规定除外），不得损害国家和集体利益，不得违反工程建设管理规章制度。</w:t>
      </w:r>
    </w:p>
    <w:p w14:paraId="2B8C6A6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1.4  建立健全廉政制度，开展廉政教育，设立廉政告示牌，公布举报电话，监督并认真查处违法违纪行为。</w:t>
      </w:r>
    </w:p>
    <w:p w14:paraId="44D9BFC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1.5  发现对方在业务活动中有违反廉政建设规定的行为，应及时给予提醒和纠正。</w:t>
      </w:r>
    </w:p>
    <w:p w14:paraId="709E825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1.6  发现对方严重违反合同的行为，有向其上级部门举报、建议给予处理并要求告知处理结果的权利。</w:t>
      </w:r>
      <w:r>
        <w:rPr>
          <w:rFonts w:hint="eastAsia" w:ascii="宋体" w:hAnsi="宋体" w:cs="宋体"/>
          <w:color w:val="auto"/>
          <w:sz w:val="24"/>
          <w:highlight w:val="none"/>
        </w:rPr>
        <w:t>没有上级部门的，</w:t>
      </w:r>
      <w:r>
        <w:rPr>
          <w:rFonts w:hint="eastAsia" w:ascii="宋体" w:hAnsi="宋体" w:cs="宋体"/>
          <w:color w:val="auto"/>
          <w:kern w:val="0"/>
          <w:sz w:val="24"/>
          <w:highlight w:val="none"/>
          <w:lang w:val="zh-CN"/>
        </w:rPr>
        <w:t>可按本合同第二部分《通用条款》第</w:t>
      </w:r>
      <w:r>
        <w:rPr>
          <w:rFonts w:hint="eastAsia" w:ascii="宋体" w:hAnsi="宋体" w:cs="宋体"/>
          <w:color w:val="auto"/>
          <w:kern w:val="0"/>
          <w:sz w:val="24"/>
          <w:highlight w:val="none"/>
        </w:rPr>
        <w:t xml:space="preserve"> 87</w:t>
      </w:r>
      <w:r>
        <w:rPr>
          <w:rFonts w:hint="eastAsia" w:ascii="宋体" w:hAnsi="宋体" w:cs="宋体"/>
          <w:color w:val="auto"/>
          <w:kern w:val="0"/>
          <w:sz w:val="24"/>
          <w:highlight w:val="none"/>
          <w:lang w:val="zh-CN"/>
        </w:rPr>
        <w:t>条规定处</w:t>
      </w:r>
      <w:r>
        <w:rPr>
          <w:rFonts w:hint="eastAsia" w:ascii="宋体" w:hAnsi="宋体" w:cs="宋体"/>
          <w:color w:val="auto"/>
          <w:sz w:val="24"/>
          <w:highlight w:val="none"/>
        </w:rPr>
        <w:t>。</w:t>
      </w:r>
    </w:p>
    <w:p w14:paraId="0BFB3008">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2  甲方义务</w:t>
      </w:r>
    </w:p>
    <w:p w14:paraId="3E6E501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  甲方及其工作人员不得索要或接受乙方的礼金、有价证券和贵重物品，不得在乙方报销任何应由甲方或工作人员个人支付的费用等。</w:t>
      </w:r>
    </w:p>
    <w:p w14:paraId="29034A2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  甲方及其工作人员不得参加乙方安排的宴请（工作餐除外）和娱乐活动；不得接受乙方提供的通讯工具、交通工具和高档办公用品等。</w:t>
      </w:r>
    </w:p>
    <w:p w14:paraId="7E3FFB0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2.3  甲方及其工作人员不得要求或者接受乙方为其住房装修、婚丧嫁娶活动、配偶子女的工作安排以及出国出境、旅游等提供方便等。</w:t>
      </w:r>
    </w:p>
    <w:p w14:paraId="778D2A7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  甲方及其工作人员及其配偶、子女不得从事与乙方有关的工程材料设备供应、工程分包、劳务等经济活动。</w:t>
      </w:r>
    </w:p>
    <w:p w14:paraId="7DA397B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2.5 甲方及其工作人员不得以任何理由向乙方推荐分包单位或推销材料，不得要求乙方购买合同约定外的材料和设备。</w:t>
      </w:r>
    </w:p>
    <w:p w14:paraId="07FFF1A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2.6  甲方及其工作人员要秉公办事，不准营私舞弊，不准利用职权从事各种个人有偿中介活动和安排个人施工队伍。</w:t>
      </w:r>
    </w:p>
    <w:p w14:paraId="00E6EACB">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3  乙方义务</w:t>
      </w:r>
    </w:p>
    <w:p w14:paraId="35CA0DA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  乙方不得以任何理由向甲方及其工作人员行贿或馈赠礼金、有价证券、贵重礼品。</w:t>
      </w:r>
    </w:p>
    <w:p w14:paraId="237B1B2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3.2  乙方不得以任何名义为甲方及其工作人员报销应由甲方或工作人员个人支付的任何费用。</w:t>
      </w:r>
    </w:p>
    <w:p w14:paraId="44CCCDA1">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3.3  乙方不得以任何理由安排甲方及其工作人员参加宴请（工作餐除外）及娱乐活动。</w:t>
      </w:r>
    </w:p>
    <w:p w14:paraId="7FF9710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3.4  乙方不得为甲方购置或提供高档通讯工具和高档办公用品等。</w:t>
      </w:r>
    </w:p>
    <w:p w14:paraId="1F7113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3.5  </w:t>
      </w:r>
      <w:r>
        <w:rPr>
          <w:rFonts w:hint="eastAsia" w:ascii="宋体" w:hAnsi="宋体" w:cs="宋体"/>
          <w:color w:val="auto"/>
          <w:kern w:val="0"/>
          <w:sz w:val="24"/>
          <w:highlight w:val="none"/>
          <w:lang w:val="zh-CN"/>
        </w:rPr>
        <w:t>乙方不得为甲方及其工作人员的住房装修、婚丧嫁娶活动、配偶子女工作安排以及出国出境、旅游等提供方便。</w:t>
      </w:r>
    </w:p>
    <w:p w14:paraId="4FFA4B4A">
      <w:pPr>
        <w:pStyle w:val="189"/>
        <w:spacing w:line="360" w:lineRule="auto"/>
        <w:rPr>
          <w:rFonts w:hint="eastAsia" w:ascii="宋体" w:hAnsi="宋体" w:cs="宋体"/>
          <w:color w:val="auto"/>
          <w:highlight w:val="none"/>
        </w:rPr>
      </w:pPr>
    </w:p>
    <w:p w14:paraId="502745D3">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4  违约责任</w:t>
      </w:r>
    </w:p>
    <w:p w14:paraId="0DAE97B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  甲方及其工作人员违反本合同第1条和第2条规定，应依据有关规定给予廉政建设规定的处分；涉嫌犯罪的，移交司法机关追究刑事责任；给乙方造成经济损失的，应予赔偿。</w:t>
      </w:r>
    </w:p>
    <w:p w14:paraId="7DFF9FD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4.2  乙方及其工作人员违反本合同第1条和第3条规定，应依据有关规定给予廉政建设规定的处分；给甲方造成经济损失的，应予赔偿；情节严重的，由建设主管部门给予乙方一至三年内不得进入工程建设市场的处罚。</w:t>
      </w:r>
    </w:p>
    <w:p w14:paraId="52A51E07">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5  双方约定</w:t>
      </w:r>
    </w:p>
    <w:p w14:paraId="237DE1A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本合同由双方或其上级部门负责监督执行，并由双方或其上级部门相互约请对本合同执行情况进行检查。</w:t>
      </w:r>
    </w:p>
    <w:p w14:paraId="2F46F88C">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6  合同生效</w:t>
      </w:r>
    </w:p>
    <w:p w14:paraId="50B9D8C4">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本合同的有效期自双方签署之日起至该工程竣工验收合格之日止。</w:t>
      </w:r>
    </w:p>
    <w:p w14:paraId="04BDC31B">
      <w:pPr>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7  合同法律效力</w:t>
      </w:r>
    </w:p>
    <w:p w14:paraId="7EF2857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本合同作为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勘察设计、施工总承包合同的附件，与该合同具有同等的法律效力，经双方签署后生效。</w:t>
      </w:r>
    </w:p>
    <w:p w14:paraId="38F85D29">
      <w:pPr>
        <w:spacing w:line="360" w:lineRule="auto"/>
        <w:rPr>
          <w:rFonts w:hint="eastAsia" w:ascii="宋体" w:hAnsi="宋体" w:cs="宋体"/>
          <w:bCs/>
          <w:color w:val="auto"/>
          <w:sz w:val="24"/>
          <w:highlight w:val="none"/>
        </w:rPr>
      </w:pPr>
    </w:p>
    <w:p w14:paraId="660AC7F3">
      <w:pPr>
        <w:rPr>
          <w:rFonts w:hint="eastAsia" w:ascii="宋体" w:hAnsi="宋体" w:cs="宋体"/>
          <w:b/>
          <w:color w:val="auto"/>
          <w:highlight w:val="none"/>
        </w:rPr>
      </w:pPr>
    </w:p>
    <w:p w14:paraId="46A59184">
      <w:pPr>
        <w:spacing w:line="360" w:lineRule="auto"/>
        <w:rPr>
          <w:rFonts w:hint="eastAsia" w:ascii="宋体" w:hAnsi="宋体" w:cs="宋体"/>
          <w:bCs/>
          <w:color w:val="auto"/>
          <w:sz w:val="24"/>
          <w:highlight w:val="none"/>
        </w:rPr>
      </w:pPr>
      <w:r>
        <w:rPr>
          <w:rFonts w:hint="eastAsia" w:ascii="宋体" w:hAnsi="宋体" w:cs="宋体"/>
          <w:b/>
          <w:color w:val="auto"/>
          <w:sz w:val="24"/>
          <w:highlight w:val="none"/>
        </w:rPr>
        <w:t>甲方：</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 xml:space="preserve"> </w:t>
      </w:r>
    </w:p>
    <w:p w14:paraId="58CC3F6E">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地址： </w:t>
      </w:r>
    </w:p>
    <w:p w14:paraId="2EAA4DEE">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法定代表人：                                      </w:t>
      </w:r>
    </w:p>
    <w:p w14:paraId="567C7DAC">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委托代理人：                                     </w:t>
      </w:r>
    </w:p>
    <w:p w14:paraId="00EE2401">
      <w:pPr>
        <w:spacing w:line="360" w:lineRule="auto"/>
        <w:rPr>
          <w:rFonts w:hint="eastAsia" w:ascii="宋体" w:hAnsi="宋体" w:cs="宋体"/>
          <w:b/>
          <w:color w:val="auto"/>
          <w:sz w:val="24"/>
          <w:highlight w:val="none"/>
        </w:rPr>
      </w:pPr>
      <w:r>
        <w:rPr>
          <w:rFonts w:hint="eastAsia" w:ascii="宋体" w:hAnsi="宋体" w:cs="宋体"/>
          <w:bCs/>
          <w:color w:val="auto"/>
          <w:sz w:val="24"/>
          <w:highlight w:val="none"/>
        </w:rPr>
        <w:t>电    话：</w:t>
      </w:r>
    </w:p>
    <w:p w14:paraId="4AE7D8C9">
      <w:pPr>
        <w:spacing w:line="360" w:lineRule="auto"/>
        <w:rPr>
          <w:rFonts w:hint="eastAsia" w:ascii="宋体" w:hAnsi="宋体" w:cs="宋体"/>
          <w:b/>
          <w:color w:val="auto"/>
          <w:sz w:val="24"/>
          <w:highlight w:val="none"/>
        </w:rPr>
      </w:pPr>
    </w:p>
    <w:p w14:paraId="3B74671F">
      <w:pPr>
        <w:spacing w:line="360" w:lineRule="auto"/>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乙方(主)：</w:t>
      </w:r>
      <w:r>
        <w:rPr>
          <w:rFonts w:hint="eastAsia" w:ascii="宋体" w:hAnsi="宋体" w:cs="宋体"/>
          <w:color w:val="auto"/>
          <w:sz w:val="24"/>
          <w:highlight w:val="none"/>
          <w:u w:val="single"/>
        </w:rPr>
        <w:t xml:space="preserve">  </w:t>
      </w:r>
      <w:r>
        <w:rPr>
          <w:rFonts w:hint="eastAsia" w:ascii="宋体" w:hAnsi="宋体" w:cs="宋体"/>
          <w:b/>
          <w:snapToGrid w:val="0"/>
          <w:color w:val="auto"/>
          <w:kern w:val="13"/>
          <w:sz w:val="24"/>
          <w:highlight w:val="none"/>
          <w:u w:val="single"/>
        </w:rPr>
        <w:t xml:space="preserve">                                                      </w:t>
      </w:r>
    </w:p>
    <w:p w14:paraId="7BA4D5DE">
      <w:pPr>
        <w:spacing w:line="360" w:lineRule="auto"/>
        <w:rPr>
          <w:rFonts w:hint="eastAsia" w:ascii="宋体" w:hAnsi="宋体" w:cs="宋体"/>
          <w:bCs/>
          <w:color w:val="auto"/>
          <w:sz w:val="24"/>
          <w:highlight w:val="none"/>
        </w:rPr>
      </w:pPr>
      <w:r>
        <w:rPr>
          <w:rFonts w:hint="eastAsia" w:ascii="宋体" w:hAnsi="宋体" w:cs="宋体"/>
          <w:b/>
          <w:snapToGrid w:val="0"/>
          <w:color w:val="auto"/>
          <w:kern w:val="13"/>
          <w:sz w:val="24"/>
          <w:highlight w:val="none"/>
        </w:rPr>
        <w:t xml:space="preserve">地址： </w:t>
      </w:r>
    </w:p>
    <w:p w14:paraId="7DAD9C08">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法定代表人：</w:t>
      </w:r>
    </w:p>
    <w:p w14:paraId="0847DED0">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委托代理人：</w:t>
      </w:r>
    </w:p>
    <w:p w14:paraId="483B8770">
      <w:pPr>
        <w:spacing w:line="360" w:lineRule="auto"/>
        <w:rPr>
          <w:rFonts w:hint="eastAsia" w:ascii="宋体" w:hAnsi="宋体" w:cs="宋体"/>
          <w:color w:val="auto"/>
          <w:sz w:val="24"/>
          <w:highlight w:val="none"/>
        </w:rPr>
      </w:pPr>
      <w:r>
        <w:rPr>
          <w:rFonts w:hint="eastAsia" w:ascii="宋体" w:hAnsi="宋体" w:cs="宋体"/>
          <w:bCs/>
          <w:color w:val="auto"/>
          <w:sz w:val="24"/>
          <w:highlight w:val="none"/>
        </w:rPr>
        <w:t>电    话：</w:t>
      </w:r>
      <w:r>
        <w:rPr>
          <w:rFonts w:hint="eastAsia" w:ascii="宋体" w:hAnsi="宋体" w:cs="宋体"/>
          <w:color w:val="auto"/>
          <w:sz w:val="24"/>
          <w:highlight w:val="none"/>
        </w:rPr>
        <w:t xml:space="preserve"> </w:t>
      </w:r>
    </w:p>
    <w:p w14:paraId="72604CE5">
      <w:pPr>
        <w:pStyle w:val="189"/>
        <w:spacing w:line="360" w:lineRule="auto"/>
        <w:ind w:firstLine="0" w:firstLineChars="0"/>
        <w:rPr>
          <w:rFonts w:hint="eastAsia" w:ascii="宋体" w:hAnsi="宋体" w:cs="宋体"/>
          <w:color w:val="auto"/>
          <w:highlight w:val="none"/>
        </w:rPr>
      </w:pPr>
    </w:p>
    <w:p w14:paraId="7372D411">
      <w:pPr>
        <w:spacing w:line="360" w:lineRule="auto"/>
        <w:rPr>
          <w:rFonts w:hint="eastAsia" w:ascii="宋体" w:hAnsi="宋体" w:cs="宋体"/>
          <w:b/>
          <w:snapToGrid w:val="0"/>
          <w:color w:val="auto"/>
          <w:kern w:val="13"/>
          <w:sz w:val="24"/>
          <w:highlight w:val="none"/>
          <w:u w:val="single"/>
        </w:rPr>
      </w:pPr>
      <w:r>
        <w:rPr>
          <w:rFonts w:hint="eastAsia" w:ascii="宋体" w:hAnsi="宋体" w:cs="宋体"/>
          <w:b/>
          <w:snapToGrid w:val="0"/>
          <w:color w:val="auto"/>
          <w:kern w:val="13"/>
          <w:sz w:val="24"/>
          <w:highlight w:val="none"/>
        </w:rPr>
        <w:t>乙方(成)：</w:t>
      </w:r>
      <w:r>
        <w:rPr>
          <w:rFonts w:hint="eastAsia" w:ascii="宋体" w:hAnsi="宋体" w:cs="宋体"/>
          <w:color w:val="auto"/>
          <w:sz w:val="24"/>
          <w:highlight w:val="none"/>
          <w:u w:val="single"/>
        </w:rPr>
        <w:t xml:space="preserve"> </w:t>
      </w:r>
      <w:r>
        <w:rPr>
          <w:rFonts w:hint="eastAsia" w:ascii="宋体" w:hAnsi="宋体" w:cs="宋体"/>
          <w:b/>
          <w:snapToGrid w:val="0"/>
          <w:color w:val="auto"/>
          <w:kern w:val="13"/>
          <w:sz w:val="24"/>
          <w:highlight w:val="none"/>
          <w:u w:val="single"/>
        </w:rPr>
        <w:t xml:space="preserve">                                                        </w:t>
      </w:r>
    </w:p>
    <w:p w14:paraId="173E7927">
      <w:pPr>
        <w:spacing w:line="360" w:lineRule="auto"/>
        <w:rPr>
          <w:rFonts w:hint="eastAsia" w:ascii="宋体" w:hAnsi="宋体" w:cs="宋体"/>
          <w:bCs/>
          <w:color w:val="auto"/>
          <w:sz w:val="24"/>
          <w:highlight w:val="none"/>
        </w:rPr>
      </w:pPr>
      <w:r>
        <w:rPr>
          <w:rFonts w:hint="eastAsia" w:ascii="宋体" w:hAnsi="宋体" w:cs="宋体"/>
          <w:b/>
          <w:snapToGrid w:val="0"/>
          <w:color w:val="auto"/>
          <w:kern w:val="13"/>
          <w:sz w:val="24"/>
          <w:highlight w:val="none"/>
        </w:rPr>
        <w:t xml:space="preserve">地址： </w:t>
      </w:r>
    </w:p>
    <w:p w14:paraId="52BA9313">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法定代表人：</w:t>
      </w:r>
    </w:p>
    <w:p w14:paraId="5AA92BCC">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委托代理人：</w:t>
      </w:r>
    </w:p>
    <w:p w14:paraId="27022088">
      <w:pPr>
        <w:spacing w:line="360" w:lineRule="auto"/>
        <w:rPr>
          <w:rFonts w:hint="eastAsia" w:ascii="宋体" w:hAnsi="宋体" w:cs="宋体"/>
          <w:color w:val="auto"/>
          <w:highlight w:val="none"/>
        </w:rPr>
      </w:pPr>
      <w:r>
        <w:rPr>
          <w:rFonts w:hint="eastAsia" w:ascii="宋体" w:hAnsi="宋体" w:cs="宋体"/>
          <w:bCs/>
          <w:color w:val="auto"/>
          <w:sz w:val="24"/>
          <w:highlight w:val="none"/>
        </w:rPr>
        <w:t>电    话：/</w:t>
      </w:r>
      <w:r>
        <w:rPr>
          <w:rFonts w:hint="eastAsia" w:ascii="宋体" w:hAnsi="宋体" w:cs="宋体"/>
          <w:b/>
          <w:color w:val="auto"/>
          <w:sz w:val="24"/>
          <w:highlight w:val="none"/>
        </w:rPr>
        <w:t xml:space="preserve"> </w:t>
      </w:r>
    </w:p>
    <w:p w14:paraId="17A6B8B5">
      <w:pPr>
        <w:rPr>
          <w:rFonts w:hint="eastAsia" w:ascii="宋体" w:hAnsi="宋体" w:cs="宋体"/>
          <w:color w:val="auto"/>
          <w:highlight w:val="none"/>
        </w:rPr>
      </w:pPr>
    </w:p>
    <w:p w14:paraId="669F2D39">
      <w:pPr>
        <w:spacing w:line="360" w:lineRule="auto"/>
        <w:rPr>
          <w:rFonts w:hint="eastAsia" w:ascii="宋体" w:hAnsi="宋体" w:cs="宋体"/>
          <w:b/>
          <w:snapToGrid w:val="0"/>
          <w:color w:val="auto"/>
          <w:kern w:val="13"/>
          <w:sz w:val="24"/>
          <w:highlight w:val="none"/>
          <w:u w:val="single"/>
        </w:rPr>
      </w:pPr>
      <w:bookmarkStart w:id="6" w:name="_Toc168476327"/>
      <w:bookmarkStart w:id="7" w:name="_Toc144974865"/>
      <w:bookmarkStart w:id="8" w:name="_Toc221952073"/>
      <w:bookmarkStart w:id="9" w:name="_Toc168475924"/>
      <w:r>
        <w:rPr>
          <w:rFonts w:hint="eastAsia" w:ascii="宋体" w:hAnsi="宋体" w:cs="宋体"/>
          <w:b/>
          <w:snapToGrid w:val="0"/>
          <w:color w:val="auto"/>
          <w:kern w:val="13"/>
          <w:sz w:val="24"/>
          <w:highlight w:val="none"/>
        </w:rPr>
        <w:t>乙方(成)：</w:t>
      </w:r>
      <w:r>
        <w:rPr>
          <w:rFonts w:hint="eastAsia" w:ascii="宋体" w:hAnsi="宋体" w:cs="宋体"/>
          <w:color w:val="auto"/>
          <w:sz w:val="24"/>
          <w:highlight w:val="none"/>
          <w:u w:val="single"/>
        </w:rPr>
        <w:t xml:space="preserve"> </w:t>
      </w:r>
      <w:r>
        <w:rPr>
          <w:rFonts w:hint="eastAsia" w:ascii="宋体" w:hAnsi="宋体" w:cs="宋体"/>
          <w:b/>
          <w:snapToGrid w:val="0"/>
          <w:color w:val="auto"/>
          <w:kern w:val="13"/>
          <w:sz w:val="24"/>
          <w:highlight w:val="none"/>
          <w:u w:val="single"/>
        </w:rPr>
        <w:t xml:space="preserve">                                                        </w:t>
      </w:r>
    </w:p>
    <w:p w14:paraId="0396C0D9">
      <w:pPr>
        <w:spacing w:line="360" w:lineRule="auto"/>
        <w:rPr>
          <w:rFonts w:hint="eastAsia" w:ascii="宋体" w:hAnsi="宋体" w:cs="宋体"/>
          <w:bCs/>
          <w:color w:val="auto"/>
          <w:sz w:val="24"/>
          <w:highlight w:val="none"/>
        </w:rPr>
      </w:pPr>
      <w:r>
        <w:rPr>
          <w:rFonts w:hint="eastAsia" w:ascii="宋体" w:hAnsi="宋体" w:cs="宋体"/>
          <w:b/>
          <w:snapToGrid w:val="0"/>
          <w:color w:val="auto"/>
          <w:kern w:val="13"/>
          <w:sz w:val="24"/>
          <w:highlight w:val="none"/>
        </w:rPr>
        <w:t xml:space="preserve">地址： </w:t>
      </w:r>
    </w:p>
    <w:p w14:paraId="4970EFD7">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法定代表人：</w:t>
      </w:r>
    </w:p>
    <w:p w14:paraId="0CADEEFD">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委托代理人：</w:t>
      </w:r>
    </w:p>
    <w:p w14:paraId="7208AD2D">
      <w:pPr>
        <w:spacing w:line="360" w:lineRule="auto"/>
        <w:rPr>
          <w:rFonts w:hint="eastAsia" w:ascii="宋体" w:hAnsi="宋体" w:cs="宋体"/>
          <w:color w:val="auto"/>
          <w:sz w:val="24"/>
          <w:highlight w:val="none"/>
        </w:rPr>
      </w:pPr>
      <w:r>
        <w:rPr>
          <w:rFonts w:hint="eastAsia" w:ascii="宋体" w:hAnsi="宋体" w:cs="宋体"/>
          <w:bCs/>
          <w:color w:val="auto"/>
          <w:sz w:val="24"/>
          <w:highlight w:val="none"/>
        </w:rPr>
        <w:t>电    话：/</w:t>
      </w:r>
    </w:p>
    <w:p w14:paraId="51E884BE">
      <w:pPr>
        <w:spacing w:line="360" w:lineRule="auto"/>
        <w:ind w:firstLine="840" w:firstLineChars="350"/>
        <w:rPr>
          <w:rFonts w:hint="eastAsia" w:ascii="宋体" w:hAnsi="宋体" w:cs="宋体"/>
          <w:color w:val="auto"/>
          <w:sz w:val="24"/>
          <w:highlight w:val="none"/>
        </w:rPr>
      </w:pPr>
    </w:p>
    <w:p w14:paraId="70924582">
      <w:pPr>
        <w:widowControl/>
        <w:jc w:val="left"/>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br w:type="page"/>
      </w:r>
    </w:p>
    <w:p w14:paraId="7CCD6B57">
      <w:pPr>
        <w:spacing w:line="360" w:lineRule="auto"/>
        <w:jc w:val="left"/>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附件</w:t>
      </w:r>
      <w:bookmarkEnd w:id="6"/>
      <w:bookmarkEnd w:id="7"/>
      <w:bookmarkEnd w:id="8"/>
      <w:bookmarkEnd w:id="9"/>
      <w:r>
        <w:rPr>
          <w:rFonts w:hint="eastAsia" w:ascii="宋体" w:hAnsi="宋体" w:cs="宋体"/>
          <w:b/>
          <w:bCs/>
          <w:color w:val="auto"/>
          <w:sz w:val="32"/>
          <w:szCs w:val="28"/>
          <w:highlight w:val="none"/>
        </w:rPr>
        <w:t>三：</w:t>
      </w:r>
    </w:p>
    <w:p w14:paraId="47D82338">
      <w:pPr>
        <w:spacing w:line="360" w:lineRule="auto"/>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工程质量保修书</w:t>
      </w:r>
    </w:p>
    <w:p w14:paraId="49CBFBED">
      <w:pPr>
        <w:spacing w:line="360" w:lineRule="auto"/>
        <w:rPr>
          <w:rFonts w:hint="eastAsia" w:ascii="宋体" w:hAnsi="宋体"/>
          <w:color w:val="auto"/>
          <w:highlight w:val="none"/>
        </w:rPr>
      </w:pPr>
    </w:p>
    <w:p w14:paraId="318C921C">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发包人</w:t>
      </w:r>
      <w:r>
        <w:rPr>
          <w:rFonts w:ascii="宋体" w:hAnsi="宋体" w:cs="仿宋"/>
          <w:color w:val="auto"/>
          <w:sz w:val="24"/>
          <w:szCs w:val="24"/>
          <w:highlight w:val="none"/>
        </w:rPr>
        <w:t>:</w:t>
      </w:r>
      <w:r>
        <w:rPr>
          <w:rFonts w:hint="eastAsia" w:ascii="宋体" w:hAnsi="宋体" w:cs="仿宋"/>
          <w:color w:val="auto"/>
          <w:sz w:val="24"/>
          <w:szCs w:val="24"/>
          <w:highlight w:val="none"/>
        </w:rPr>
        <w:t>（全称）</w:t>
      </w:r>
      <w:r>
        <w:rPr>
          <w:rFonts w:hint="eastAsia" w:ascii="宋体" w:hAnsi="宋体"/>
          <w:color w:val="auto"/>
          <w:sz w:val="24"/>
          <w:szCs w:val="24"/>
          <w:highlight w:val="none"/>
          <w:u w:val="single"/>
        </w:rPr>
        <w:t xml:space="preserve"> 广州市荔湾区人民政府石围塘街道办事处</w:t>
      </w:r>
      <w:r>
        <w:rPr>
          <w:rFonts w:ascii="宋体" w:hAnsi="宋体" w:cs="仿宋"/>
          <w:color w:val="auto"/>
          <w:sz w:val="24"/>
          <w:szCs w:val="24"/>
          <w:highlight w:val="none"/>
          <w:u w:val="single"/>
        </w:rPr>
        <w:t xml:space="preserve">     </w:t>
      </w:r>
    </w:p>
    <w:p w14:paraId="78CDFBEF">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承包人（承包人为联合体时）：</w:t>
      </w:r>
    </w:p>
    <w:p w14:paraId="1146EFC5">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(牵头单位全称)</w:t>
      </w:r>
      <w:r>
        <w:rPr>
          <w:rFonts w:hint="eastAsia" w:ascii="宋体" w:hAnsi="宋体" w:cs="仿宋"/>
          <w:color w:val="auto"/>
          <w:sz w:val="24"/>
          <w:szCs w:val="24"/>
          <w:highlight w:val="none"/>
          <w:u w:val="single"/>
        </w:rPr>
        <w:t xml:space="preserve">                                </w:t>
      </w:r>
    </w:p>
    <w:p w14:paraId="69691A6D">
      <w:pPr>
        <w:spacing w:line="360" w:lineRule="auto"/>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rPr>
        <w:t>(成员单位全称)</w:t>
      </w:r>
      <w:r>
        <w:rPr>
          <w:rFonts w:hint="eastAsia" w:ascii="宋体" w:hAnsi="宋体" w:cs="仿宋"/>
          <w:color w:val="auto"/>
          <w:sz w:val="24"/>
          <w:szCs w:val="24"/>
          <w:highlight w:val="none"/>
          <w:u w:val="single"/>
        </w:rPr>
        <w:t xml:space="preserve">                                </w:t>
      </w:r>
    </w:p>
    <w:p w14:paraId="0027BAD7">
      <w:pPr>
        <w:spacing w:line="360" w:lineRule="auto"/>
        <w:ind w:firstLine="480" w:firstLineChars="200"/>
        <w:rPr>
          <w:rFonts w:hint="eastAsia" w:ascii="宋体" w:hAnsi="宋体" w:cs="仿宋"/>
          <w:color w:val="auto"/>
          <w:sz w:val="24"/>
          <w:szCs w:val="24"/>
          <w:highlight w:val="none"/>
        </w:rPr>
      </w:pPr>
    </w:p>
    <w:p w14:paraId="0F378B85">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为保证 </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（工程名称）在合理使用期限内正常使用，合同双方当事人根据《中华人民共和国建筑法》、《建设工程质量管理条例》和《房屋建筑工程质量保修办法》等规定，经协商一致，订立本质量保修书。</w:t>
      </w:r>
    </w:p>
    <w:p w14:paraId="60F036BF">
      <w:pPr>
        <w:spacing w:line="360" w:lineRule="auto"/>
        <w:ind w:firstLine="480" w:firstLineChars="200"/>
        <w:rPr>
          <w:rFonts w:hint="eastAsia" w:ascii="宋体" w:hAnsi="宋体"/>
          <w:color w:val="auto"/>
          <w:sz w:val="24"/>
          <w:szCs w:val="24"/>
          <w:highlight w:val="none"/>
        </w:rPr>
      </w:pPr>
    </w:p>
    <w:p w14:paraId="7A7125E4">
      <w:pPr>
        <w:spacing w:line="360" w:lineRule="auto"/>
        <w:ind w:firstLine="480" w:firstLineChars="200"/>
        <w:rPr>
          <w:rFonts w:hint="eastAsia" w:ascii="宋体" w:hAnsi="宋体"/>
          <w:b/>
          <w:bCs/>
          <w:color w:val="auto"/>
          <w:sz w:val="24"/>
          <w:szCs w:val="24"/>
          <w:highlight w:val="none"/>
        </w:rPr>
      </w:pPr>
      <w:r>
        <w:rPr>
          <w:rFonts w:ascii="宋体" w:hAnsi="宋体" w:cs="仿宋"/>
          <w:b/>
          <w:bCs/>
          <w:color w:val="auto"/>
          <w:sz w:val="24"/>
          <w:szCs w:val="24"/>
          <w:highlight w:val="none"/>
        </w:rPr>
        <w:t>1.</w:t>
      </w:r>
      <w:r>
        <w:rPr>
          <w:rFonts w:hint="eastAsia" w:ascii="宋体" w:hAnsi="宋体" w:cs="仿宋"/>
          <w:b/>
          <w:bCs/>
          <w:color w:val="auto"/>
          <w:sz w:val="24"/>
          <w:szCs w:val="24"/>
          <w:highlight w:val="none"/>
        </w:rPr>
        <w:t>质量保修范围</w:t>
      </w:r>
    </w:p>
    <w:p w14:paraId="61C78C72">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质量保修范围包括 </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以及双方约定其他项目。具体质量保修范围，合同双方当事人约定如下：</w:t>
      </w:r>
    </w:p>
    <w:p w14:paraId="3F63CB8E">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1.1</w:t>
      </w:r>
      <w:r>
        <w:rPr>
          <w:rFonts w:ascii="宋体" w:hAnsi="宋体" w:cs="仿宋"/>
          <w:color w:val="auto"/>
          <w:sz w:val="24"/>
          <w:szCs w:val="24"/>
          <w:highlight w:val="none"/>
        </w:rPr>
        <w:t>承包人在质量保修期内，按照有关法律、法规、规章规定和双方约定，承担</w:t>
      </w:r>
      <w:r>
        <w:rPr>
          <w:rFonts w:hint="eastAsia" w:ascii="宋体" w:hAnsi="宋体" w:cs="仿宋"/>
          <w:color w:val="auto"/>
          <w:sz w:val="24"/>
          <w:szCs w:val="24"/>
          <w:highlight w:val="none"/>
        </w:rPr>
        <w:t>本合同项下</w:t>
      </w:r>
      <w:r>
        <w:rPr>
          <w:rFonts w:ascii="宋体" w:hAnsi="宋体" w:cs="仿宋"/>
          <w:color w:val="auto"/>
          <w:sz w:val="24"/>
          <w:szCs w:val="24"/>
          <w:highlight w:val="none"/>
        </w:rPr>
        <w:t xml:space="preserve">工程质量保修责任。                                                                                    </w:t>
      </w:r>
    </w:p>
    <w:p w14:paraId="7284CDC4">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1.</w:t>
      </w:r>
      <w:r>
        <w:rPr>
          <w:rFonts w:ascii="宋体" w:hAnsi="宋体" w:cs="仿宋"/>
          <w:color w:val="auto"/>
          <w:sz w:val="24"/>
          <w:szCs w:val="24"/>
          <w:highlight w:val="none"/>
        </w:rPr>
        <w:t>2承包人承包范围内的所有工程均属保修范围。</w:t>
      </w:r>
    </w:p>
    <w:p w14:paraId="6BD6C778">
      <w:pPr>
        <w:pStyle w:val="16"/>
        <w:spacing w:line="360" w:lineRule="auto"/>
        <w:ind w:firstLine="480" w:firstLineChars="200"/>
        <w:rPr>
          <w:rFonts w:hint="eastAsia" w:hAnsi="宋体"/>
          <w:color w:val="auto"/>
          <w:sz w:val="24"/>
          <w:szCs w:val="24"/>
          <w:highlight w:val="none"/>
        </w:rPr>
      </w:pPr>
    </w:p>
    <w:p w14:paraId="29AF3CC2">
      <w:pPr>
        <w:spacing w:line="360" w:lineRule="auto"/>
        <w:ind w:firstLine="480" w:firstLineChars="200"/>
        <w:rPr>
          <w:rFonts w:hint="eastAsia" w:ascii="宋体" w:hAnsi="宋体"/>
          <w:b/>
          <w:bCs/>
          <w:color w:val="auto"/>
          <w:sz w:val="24"/>
          <w:szCs w:val="24"/>
          <w:highlight w:val="none"/>
        </w:rPr>
      </w:pPr>
      <w:r>
        <w:rPr>
          <w:rFonts w:ascii="宋体" w:hAnsi="宋体" w:cs="仿宋"/>
          <w:b/>
          <w:bCs/>
          <w:color w:val="auto"/>
          <w:sz w:val="24"/>
          <w:szCs w:val="24"/>
          <w:highlight w:val="none"/>
        </w:rPr>
        <w:t>2.</w:t>
      </w:r>
      <w:r>
        <w:rPr>
          <w:rFonts w:hint="eastAsia" w:ascii="宋体" w:hAnsi="宋体" w:cs="仿宋"/>
          <w:b/>
          <w:bCs/>
          <w:color w:val="auto"/>
          <w:sz w:val="24"/>
          <w:szCs w:val="24"/>
          <w:highlight w:val="none"/>
        </w:rPr>
        <w:t>质量保修期</w:t>
      </w:r>
    </w:p>
    <w:p w14:paraId="42BAA330">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2.1 质量保修期从工程实际竣工之日算起。各管线专业工程竣工验收的工程，按管线专业工程分别计算质量保修期。</w:t>
      </w:r>
    </w:p>
    <w:p w14:paraId="0D133192">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2.2 </w:t>
      </w:r>
      <w:r>
        <w:rPr>
          <w:rFonts w:hint="eastAsia" w:ascii="宋体" w:hAnsi="宋体" w:cs="仿宋"/>
          <w:color w:val="auto"/>
          <w:sz w:val="24"/>
          <w:szCs w:val="24"/>
          <w:highlight w:val="none"/>
          <w:lang w:val="zh-CN"/>
        </w:rPr>
        <w:t>合同工程质量保修期，合同双方当事人约定如下</w:t>
      </w:r>
      <w:r>
        <w:rPr>
          <w:rFonts w:hint="eastAsia" w:ascii="宋体" w:hAnsi="宋体" w:cs="仿宋"/>
          <w:color w:val="auto"/>
          <w:sz w:val="24"/>
          <w:szCs w:val="24"/>
          <w:highlight w:val="none"/>
        </w:rPr>
        <w:t>：</w:t>
      </w:r>
    </w:p>
    <w:p w14:paraId="34616C4E">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1</w:t>
      </w:r>
      <w:r>
        <w:rPr>
          <w:rFonts w:hint="eastAsia" w:ascii="宋体" w:hAnsi="宋体" w:cs="仿宋"/>
          <w:color w:val="auto"/>
          <w:sz w:val="24"/>
          <w:szCs w:val="24"/>
          <w:highlight w:val="none"/>
        </w:rPr>
        <w:t>．地基基础工程、主体结构工程为设计文件规定的合理使用年限；</w:t>
      </w:r>
    </w:p>
    <w:p w14:paraId="1884C401">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2</w:t>
      </w:r>
      <w:r>
        <w:rPr>
          <w:rFonts w:hint="eastAsia" w:ascii="宋体" w:hAnsi="宋体" w:cs="仿宋"/>
          <w:color w:val="auto"/>
          <w:sz w:val="24"/>
          <w:szCs w:val="24"/>
          <w:highlight w:val="none"/>
        </w:rPr>
        <w:t>．屋面防水工程、有防水要求的卫生间、房间和外墙面的防渗漏工程为</w:t>
      </w:r>
      <w:r>
        <w:rPr>
          <w:rFonts w:ascii="宋体" w:hAnsi="宋体" w:cs="仿宋"/>
          <w:color w:val="auto"/>
          <w:sz w:val="24"/>
          <w:szCs w:val="24"/>
          <w:highlight w:val="none"/>
          <w:u w:val="single"/>
        </w:rPr>
        <w:t xml:space="preserve">  6 </w:t>
      </w:r>
      <w:r>
        <w:rPr>
          <w:rFonts w:hint="eastAsia" w:ascii="宋体" w:hAnsi="宋体" w:cs="仿宋"/>
          <w:color w:val="auto"/>
          <w:sz w:val="24"/>
          <w:szCs w:val="24"/>
          <w:highlight w:val="none"/>
        </w:rPr>
        <w:t>年；</w:t>
      </w:r>
    </w:p>
    <w:p w14:paraId="386021C5">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3</w:t>
      </w:r>
      <w:r>
        <w:rPr>
          <w:rFonts w:hint="eastAsia" w:ascii="宋体" w:hAnsi="宋体" w:cs="仿宋"/>
          <w:color w:val="auto"/>
          <w:sz w:val="24"/>
          <w:szCs w:val="24"/>
          <w:highlight w:val="none"/>
        </w:rPr>
        <w:t>．电气管线工程、给排水管道工程、设备安装工程为</w:t>
      </w:r>
      <w:r>
        <w:rPr>
          <w:rFonts w:ascii="宋体" w:hAnsi="宋体" w:cs="仿宋"/>
          <w:color w:val="auto"/>
          <w:sz w:val="24"/>
          <w:szCs w:val="24"/>
          <w:highlight w:val="none"/>
          <w:u w:val="single"/>
        </w:rPr>
        <w:t xml:space="preserve">  3 </w:t>
      </w:r>
      <w:r>
        <w:rPr>
          <w:rFonts w:hint="eastAsia" w:ascii="宋体" w:hAnsi="宋体" w:cs="仿宋"/>
          <w:color w:val="auto"/>
          <w:sz w:val="24"/>
          <w:szCs w:val="24"/>
          <w:highlight w:val="none"/>
        </w:rPr>
        <w:t>年；</w:t>
      </w:r>
    </w:p>
    <w:p w14:paraId="5AFC6060">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4</w:t>
      </w:r>
      <w:r>
        <w:rPr>
          <w:rFonts w:hint="eastAsia" w:ascii="宋体" w:hAnsi="宋体" w:cs="仿宋"/>
          <w:color w:val="auto"/>
          <w:sz w:val="24"/>
          <w:szCs w:val="24"/>
          <w:highlight w:val="none"/>
        </w:rPr>
        <w:t>．供热、供冷系统工程为</w:t>
      </w:r>
      <w:r>
        <w:rPr>
          <w:rFonts w:ascii="宋体" w:hAnsi="宋体" w:cs="仿宋"/>
          <w:color w:val="auto"/>
          <w:sz w:val="24"/>
          <w:szCs w:val="24"/>
          <w:highlight w:val="none"/>
        </w:rPr>
        <w:t xml:space="preserve"> </w:t>
      </w:r>
      <w:r>
        <w:rPr>
          <w:rFonts w:hint="eastAsia" w:ascii="宋体" w:hAnsi="宋体" w:cs="仿宋"/>
          <w:color w:val="auto"/>
          <w:sz w:val="24"/>
          <w:szCs w:val="24"/>
          <w:highlight w:val="none"/>
          <w:u w:val="single"/>
        </w:rPr>
        <w:t>3</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个采暖期、供冷期；</w:t>
      </w:r>
    </w:p>
    <w:p w14:paraId="1F0A2C9A">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5</w:t>
      </w:r>
      <w:r>
        <w:rPr>
          <w:rFonts w:hint="eastAsia" w:ascii="宋体" w:hAnsi="宋体" w:cs="仿宋"/>
          <w:color w:val="auto"/>
          <w:sz w:val="24"/>
          <w:szCs w:val="24"/>
          <w:highlight w:val="none"/>
        </w:rPr>
        <w:t>．装饰装修工程为</w:t>
      </w:r>
      <w:r>
        <w:rPr>
          <w:rFonts w:ascii="宋体" w:hAnsi="宋体" w:cs="仿宋"/>
          <w:color w:val="auto"/>
          <w:sz w:val="24"/>
          <w:szCs w:val="24"/>
          <w:highlight w:val="none"/>
          <w:u w:val="single"/>
        </w:rPr>
        <w:t xml:space="preserve">  3  </w:t>
      </w:r>
      <w:r>
        <w:rPr>
          <w:rFonts w:hint="eastAsia" w:ascii="宋体" w:hAnsi="宋体" w:cs="仿宋"/>
          <w:color w:val="auto"/>
          <w:sz w:val="24"/>
          <w:szCs w:val="24"/>
          <w:highlight w:val="none"/>
        </w:rPr>
        <w:t>年；</w:t>
      </w:r>
    </w:p>
    <w:p w14:paraId="645DCEBC">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6</w:t>
      </w:r>
      <w:r>
        <w:rPr>
          <w:rFonts w:hint="eastAsia" w:ascii="宋体" w:hAnsi="宋体" w:cs="仿宋"/>
          <w:color w:val="auto"/>
          <w:sz w:val="24"/>
          <w:szCs w:val="24"/>
          <w:highlight w:val="none"/>
        </w:rPr>
        <w:t>．其他项目：</w:t>
      </w:r>
      <w:r>
        <w:rPr>
          <w:rFonts w:hint="eastAsia" w:ascii="宋体" w:hAnsi="宋体" w:cs="仿宋"/>
          <w:color w:val="auto"/>
          <w:sz w:val="24"/>
          <w:szCs w:val="24"/>
          <w:highlight w:val="none"/>
          <w:u w:val="single"/>
        </w:rPr>
        <w:t>保修期按《房屋建筑工程质量保修办法》规定的保修年限+1执行。</w:t>
      </w:r>
    </w:p>
    <w:p w14:paraId="7DD0E46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3</w:t>
      </w:r>
      <w:r>
        <w:rPr>
          <w:rFonts w:ascii="宋体" w:hAnsi="宋体"/>
          <w:color w:val="auto"/>
          <w:sz w:val="24"/>
          <w:szCs w:val="24"/>
          <w:highlight w:val="none"/>
        </w:rPr>
        <w:t>经双方协商，一致同意本合同项下其他工程的保修期限约定如下：</w:t>
      </w:r>
    </w:p>
    <w:p w14:paraId="51D62E2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 xml:space="preserve">. </w:t>
      </w:r>
      <w:r>
        <w:rPr>
          <w:rFonts w:ascii="宋体" w:hAnsi="宋体"/>
          <w:color w:val="auto"/>
          <w:sz w:val="24"/>
          <w:szCs w:val="24"/>
          <w:highlight w:val="none"/>
        </w:rPr>
        <w:t>给排水设施为</w:t>
      </w:r>
      <w:r>
        <w:rPr>
          <w:rFonts w:ascii="宋体" w:hAnsi="宋体"/>
          <w:color w:val="auto"/>
          <w:sz w:val="24"/>
          <w:szCs w:val="24"/>
          <w:highlight w:val="none"/>
          <w:u w:val="single"/>
        </w:rPr>
        <w:t>3</w:t>
      </w:r>
      <w:r>
        <w:rPr>
          <w:rFonts w:ascii="宋体" w:hAnsi="宋体"/>
          <w:color w:val="auto"/>
          <w:sz w:val="24"/>
          <w:szCs w:val="24"/>
          <w:highlight w:val="none"/>
        </w:rPr>
        <w:t>年；</w:t>
      </w:r>
    </w:p>
    <w:p w14:paraId="20B5BB5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 xml:space="preserve">. </w:t>
      </w:r>
      <w:r>
        <w:rPr>
          <w:rFonts w:ascii="宋体" w:hAnsi="宋体"/>
          <w:color w:val="auto"/>
          <w:sz w:val="24"/>
          <w:szCs w:val="24"/>
          <w:highlight w:val="none"/>
        </w:rPr>
        <w:t>园建、道路工程为</w:t>
      </w:r>
      <w:r>
        <w:rPr>
          <w:rFonts w:ascii="宋体" w:hAnsi="宋体"/>
          <w:color w:val="auto"/>
          <w:sz w:val="24"/>
          <w:szCs w:val="24"/>
          <w:highlight w:val="none"/>
          <w:u w:val="single"/>
        </w:rPr>
        <w:t xml:space="preserve"> 3</w:t>
      </w:r>
      <w:r>
        <w:rPr>
          <w:rFonts w:ascii="宋体" w:hAnsi="宋体"/>
          <w:color w:val="auto"/>
          <w:sz w:val="24"/>
          <w:szCs w:val="24"/>
          <w:highlight w:val="none"/>
        </w:rPr>
        <w:t>年；</w:t>
      </w:r>
    </w:p>
    <w:p w14:paraId="76E0569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 xml:space="preserve">. </w:t>
      </w:r>
      <w:r>
        <w:rPr>
          <w:rFonts w:ascii="宋体" w:hAnsi="宋体"/>
          <w:color w:val="auto"/>
          <w:sz w:val="24"/>
          <w:szCs w:val="24"/>
          <w:highlight w:val="none"/>
        </w:rPr>
        <w:t>绿化工程养护期</w:t>
      </w:r>
      <w:r>
        <w:rPr>
          <w:rFonts w:ascii="宋体" w:hAnsi="宋体"/>
          <w:color w:val="auto"/>
          <w:sz w:val="24"/>
          <w:szCs w:val="24"/>
          <w:highlight w:val="none"/>
          <w:u w:val="single"/>
        </w:rPr>
        <w:t>2</w:t>
      </w:r>
      <w:r>
        <w:rPr>
          <w:rFonts w:ascii="宋体" w:hAnsi="宋体"/>
          <w:color w:val="auto"/>
          <w:sz w:val="24"/>
          <w:szCs w:val="24"/>
          <w:highlight w:val="none"/>
        </w:rPr>
        <w:t>年。其中保养成活期</w:t>
      </w:r>
      <w:r>
        <w:rPr>
          <w:rFonts w:ascii="宋体" w:hAnsi="宋体"/>
          <w:color w:val="auto"/>
          <w:sz w:val="24"/>
          <w:szCs w:val="24"/>
          <w:highlight w:val="none"/>
          <w:u w:val="single"/>
        </w:rPr>
        <w:t>3</w:t>
      </w:r>
      <w:r>
        <w:rPr>
          <w:rFonts w:ascii="宋体" w:hAnsi="宋体"/>
          <w:color w:val="auto"/>
          <w:sz w:val="24"/>
          <w:szCs w:val="24"/>
          <w:highlight w:val="none"/>
        </w:rPr>
        <w:t>个月，保养期</w:t>
      </w:r>
      <w:r>
        <w:rPr>
          <w:rFonts w:ascii="宋体" w:hAnsi="宋体"/>
          <w:color w:val="auto"/>
          <w:sz w:val="24"/>
          <w:szCs w:val="24"/>
          <w:highlight w:val="none"/>
          <w:u w:val="single"/>
        </w:rPr>
        <w:t>9</w:t>
      </w:r>
      <w:r>
        <w:rPr>
          <w:rFonts w:ascii="宋体" w:hAnsi="宋体"/>
          <w:color w:val="auto"/>
          <w:sz w:val="24"/>
          <w:szCs w:val="24"/>
          <w:highlight w:val="none"/>
        </w:rPr>
        <w:t>个月；</w:t>
      </w:r>
    </w:p>
    <w:p w14:paraId="1766A6D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 xml:space="preserve">. </w:t>
      </w:r>
      <w:r>
        <w:rPr>
          <w:rFonts w:ascii="宋体" w:hAnsi="宋体"/>
          <w:color w:val="auto"/>
          <w:sz w:val="24"/>
          <w:szCs w:val="24"/>
          <w:highlight w:val="none"/>
        </w:rPr>
        <w:t>门窗为</w:t>
      </w:r>
      <w:r>
        <w:rPr>
          <w:rFonts w:ascii="宋体" w:hAnsi="宋体"/>
          <w:color w:val="auto"/>
          <w:sz w:val="24"/>
          <w:szCs w:val="24"/>
          <w:highlight w:val="none"/>
          <w:u w:val="single"/>
        </w:rPr>
        <w:t>3</w:t>
      </w:r>
      <w:r>
        <w:rPr>
          <w:rFonts w:ascii="宋体" w:hAnsi="宋体"/>
          <w:color w:val="auto"/>
          <w:sz w:val="24"/>
          <w:szCs w:val="24"/>
          <w:highlight w:val="none"/>
        </w:rPr>
        <w:t>年；</w:t>
      </w:r>
    </w:p>
    <w:p w14:paraId="581C353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 xml:space="preserve">. </w:t>
      </w:r>
      <w:r>
        <w:rPr>
          <w:rFonts w:ascii="宋体" w:hAnsi="宋体"/>
          <w:color w:val="auto"/>
          <w:sz w:val="24"/>
          <w:szCs w:val="24"/>
          <w:highlight w:val="none"/>
        </w:rPr>
        <w:t>楼、地面空鼓开裂、大面积起砂为</w:t>
      </w:r>
      <w:r>
        <w:rPr>
          <w:rFonts w:ascii="宋体" w:hAnsi="宋体"/>
          <w:color w:val="auto"/>
          <w:sz w:val="24"/>
          <w:szCs w:val="24"/>
          <w:highlight w:val="none"/>
          <w:u w:val="single"/>
        </w:rPr>
        <w:t>3</w:t>
      </w:r>
      <w:r>
        <w:rPr>
          <w:rFonts w:ascii="宋体" w:hAnsi="宋体"/>
          <w:color w:val="auto"/>
          <w:sz w:val="24"/>
          <w:szCs w:val="24"/>
          <w:highlight w:val="none"/>
        </w:rPr>
        <w:t>年；</w:t>
      </w:r>
    </w:p>
    <w:p w14:paraId="4D31688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 xml:space="preserve">. </w:t>
      </w:r>
      <w:r>
        <w:rPr>
          <w:rFonts w:ascii="宋体" w:hAnsi="宋体"/>
          <w:color w:val="auto"/>
          <w:sz w:val="24"/>
          <w:szCs w:val="24"/>
          <w:highlight w:val="none"/>
        </w:rPr>
        <w:t>卫生间洁具、配件为</w:t>
      </w:r>
      <w:r>
        <w:rPr>
          <w:rFonts w:ascii="宋体" w:hAnsi="宋体"/>
          <w:color w:val="auto"/>
          <w:sz w:val="24"/>
          <w:szCs w:val="24"/>
          <w:highlight w:val="none"/>
          <w:u w:val="single"/>
        </w:rPr>
        <w:t>3</w:t>
      </w:r>
      <w:r>
        <w:rPr>
          <w:rFonts w:ascii="宋体" w:hAnsi="宋体"/>
          <w:color w:val="auto"/>
          <w:sz w:val="24"/>
          <w:szCs w:val="24"/>
          <w:highlight w:val="none"/>
        </w:rPr>
        <w:t>年；</w:t>
      </w:r>
    </w:p>
    <w:p w14:paraId="7B83C0B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 xml:space="preserve">. </w:t>
      </w:r>
      <w:r>
        <w:rPr>
          <w:rFonts w:ascii="宋体" w:hAnsi="宋体"/>
          <w:color w:val="auto"/>
          <w:sz w:val="24"/>
          <w:szCs w:val="24"/>
          <w:highlight w:val="none"/>
        </w:rPr>
        <w:t>灯具、开关、插座为</w:t>
      </w:r>
      <w:r>
        <w:rPr>
          <w:rFonts w:ascii="宋体" w:hAnsi="宋体"/>
          <w:color w:val="auto"/>
          <w:sz w:val="24"/>
          <w:szCs w:val="24"/>
          <w:highlight w:val="none"/>
          <w:u w:val="single"/>
        </w:rPr>
        <w:t>3</w:t>
      </w:r>
      <w:r>
        <w:rPr>
          <w:rFonts w:ascii="宋体" w:hAnsi="宋体"/>
          <w:color w:val="auto"/>
          <w:sz w:val="24"/>
          <w:szCs w:val="24"/>
          <w:highlight w:val="none"/>
        </w:rPr>
        <w:t>年；</w:t>
      </w:r>
    </w:p>
    <w:p w14:paraId="0884CC6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 xml:space="preserve">. </w:t>
      </w:r>
      <w:r>
        <w:rPr>
          <w:rFonts w:ascii="宋体" w:hAnsi="宋体"/>
          <w:color w:val="auto"/>
          <w:sz w:val="24"/>
          <w:szCs w:val="24"/>
          <w:highlight w:val="none"/>
        </w:rPr>
        <w:t>墙面、顶棚抹灰脱落为</w:t>
      </w:r>
      <w:r>
        <w:rPr>
          <w:rFonts w:ascii="宋体" w:hAnsi="宋体"/>
          <w:color w:val="auto"/>
          <w:sz w:val="24"/>
          <w:szCs w:val="24"/>
          <w:highlight w:val="none"/>
          <w:u w:val="single"/>
        </w:rPr>
        <w:t>3</w:t>
      </w:r>
      <w:r>
        <w:rPr>
          <w:rFonts w:ascii="宋体" w:hAnsi="宋体"/>
          <w:color w:val="auto"/>
          <w:sz w:val="24"/>
          <w:szCs w:val="24"/>
          <w:highlight w:val="none"/>
        </w:rPr>
        <w:t>年；</w:t>
      </w:r>
    </w:p>
    <w:p w14:paraId="69A24D94">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9</w:t>
      </w:r>
      <w:r>
        <w:rPr>
          <w:rFonts w:hint="eastAsia" w:ascii="宋体" w:hAnsi="宋体"/>
          <w:color w:val="auto"/>
          <w:sz w:val="24"/>
          <w:szCs w:val="24"/>
          <w:highlight w:val="none"/>
        </w:rPr>
        <w:t xml:space="preserve">. </w:t>
      </w:r>
      <w:r>
        <w:rPr>
          <w:rFonts w:ascii="宋体" w:hAnsi="宋体"/>
          <w:color w:val="auto"/>
          <w:sz w:val="24"/>
          <w:szCs w:val="24"/>
          <w:highlight w:val="none"/>
        </w:rPr>
        <w:t>其他：</w:t>
      </w:r>
      <w:r>
        <w:rPr>
          <w:rFonts w:ascii="宋体" w:hAnsi="宋体"/>
          <w:color w:val="auto"/>
          <w:sz w:val="24"/>
          <w:szCs w:val="24"/>
          <w:highlight w:val="none"/>
          <w:u w:val="single"/>
        </w:rPr>
        <w:t>按照有关法律、法规、规章规定。</w:t>
      </w:r>
    </w:p>
    <w:p w14:paraId="12870F85">
      <w:pPr>
        <w:spacing w:line="360" w:lineRule="auto"/>
        <w:ind w:firstLine="480" w:firstLineChars="200"/>
        <w:rPr>
          <w:rFonts w:hint="eastAsia" w:ascii="宋体" w:hAnsi="宋体"/>
          <w:color w:val="auto"/>
          <w:sz w:val="24"/>
          <w:szCs w:val="24"/>
          <w:highlight w:val="none"/>
        </w:rPr>
      </w:pPr>
    </w:p>
    <w:p w14:paraId="626B123E">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3． </w:t>
      </w:r>
      <w:r>
        <w:rPr>
          <w:rFonts w:hint="eastAsia" w:ascii="宋体" w:hAnsi="宋体" w:cs="仿宋"/>
          <w:b/>
          <w:bCs/>
          <w:color w:val="auto"/>
          <w:sz w:val="24"/>
          <w:szCs w:val="24"/>
          <w:highlight w:val="none"/>
        </w:rPr>
        <w:t>质量保修责任</w:t>
      </w:r>
    </w:p>
    <w:p w14:paraId="40A7C5D1">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 xml:space="preserve">3.1  </w:t>
      </w:r>
      <w:r>
        <w:rPr>
          <w:rFonts w:hint="eastAsia" w:ascii="宋体" w:hAnsi="宋体" w:cs="仿宋"/>
          <w:color w:val="auto"/>
          <w:sz w:val="24"/>
          <w:szCs w:val="24"/>
          <w:highlight w:val="none"/>
          <w:lang w:val="zh-CN"/>
        </w:rPr>
        <w:t>属于保修范围的项目，承包人应在接到发包人通知后的</w:t>
      </w:r>
      <w:r>
        <w:rPr>
          <w:rFonts w:hint="eastAsia" w:ascii="宋体" w:hAnsi="宋体" w:cs="仿宋"/>
          <w:color w:val="auto"/>
          <w:sz w:val="24"/>
          <w:szCs w:val="24"/>
          <w:highlight w:val="none"/>
        </w:rPr>
        <w:t>24小时</w:t>
      </w:r>
      <w:r>
        <w:rPr>
          <w:rFonts w:hint="eastAsia" w:ascii="宋体" w:hAnsi="宋体" w:cs="仿宋"/>
          <w:color w:val="auto"/>
          <w:sz w:val="24"/>
          <w:szCs w:val="24"/>
          <w:highlight w:val="none"/>
          <w:lang w:val="zh-CN"/>
        </w:rPr>
        <w:t>内派人保修。承包人未能在规定时间内派人保修的，发包人可自行或委托第三方保修，</w:t>
      </w:r>
      <w:r>
        <w:rPr>
          <w:rFonts w:ascii="宋体" w:hAnsi="宋体" w:cs="仿宋"/>
          <w:color w:val="auto"/>
          <w:sz w:val="24"/>
          <w:szCs w:val="24"/>
          <w:highlight w:val="none"/>
          <w:lang w:val="zh-CN"/>
        </w:rPr>
        <w:t>保修费用从质量保修金中扣除</w:t>
      </w:r>
      <w:r>
        <w:rPr>
          <w:rFonts w:ascii="宋体" w:hAnsi="宋体"/>
          <w:color w:val="auto"/>
          <w:sz w:val="24"/>
          <w:szCs w:val="24"/>
          <w:highlight w:val="none"/>
        </w:rPr>
        <w:t>。</w:t>
      </w:r>
    </w:p>
    <w:p w14:paraId="7F5CAEF9">
      <w:pPr>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3.2  </w:t>
      </w:r>
      <w:r>
        <w:rPr>
          <w:rFonts w:hint="eastAsia" w:ascii="宋体" w:hAnsi="宋体" w:cs="仿宋"/>
          <w:color w:val="auto"/>
          <w:sz w:val="24"/>
          <w:szCs w:val="24"/>
          <w:highlight w:val="none"/>
        </w:rPr>
        <w:t>发生紧急抢修事故的，承包人在接到通知后，应立即到达事故现场抢修。</w:t>
      </w:r>
      <w:r>
        <w:rPr>
          <w:rFonts w:ascii="宋体" w:hAnsi="宋体" w:cs="仿宋"/>
          <w:color w:val="auto"/>
          <w:sz w:val="24"/>
          <w:szCs w:val="24"/>
          <w:highlight w:val="none"/>
        </w:rPr>
        <w:t>保修通知可以口头或书面的方式发出。如以口头方式发出的，承包人应当如实记录通知时间和内容，并在到达现场保修时由发包人签字确认。书面方式包括但不限于电子邮件、传真、信函等方式。</w:t>
      </w:r>
    </w:p>
    <w:p w14:paraId="21B194AC">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 xml:space="preserve">3.3 </w:t>
      </w:r>
      <w:r>
        <w:rPr>
          <w:rFonts w:hint="eastAsia" w:ascii="宋体" w:hAnsi="宋体" w:cs="仿宋"/>
          <w:color w:val="auto"/>
          <w:sz w:val="24"/>
          <w:szCs w:val="24"/>
          <w:highlight w:val="none"/>
        </w:rPr>
        <w:t>在国家规定的工程合理使用期限内，承包人应确保地基基础工程和主体结构的质量和安全。凡出现其质量问题，应立即报告当地建设行政主管部门，由承包人或具有相应资质等级的设计单位提出保修方案后，承包人应立即实施保修。</w:t>
      </w:r>
    </w:p>
    <w:p w14:paraId="34A15B09">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 xml:space="preserve">3.4 </w:t>
      </w:r>
      <w:r>
        <w:rPr>
          <w:rFonts w:hint="eastAsia" w:ascii="宋体" w:hAnsi="宋体" w:cs="仿宋"/>
          <w:color w:val="auto"/>
          <w:sz w:val="24"/>
          <w:szCs w:val="24"/>
          <w:highlight w:val="none"/>
        </w:rPr>
        <w:t>质量保修完成后，由发包人组织验收。</w:t>
      </w:r>
    </w:p>
    <w:p w14:paraId="2D2E25DD">
      <w:pPr>
        <w:spacing w:line="360" w:lineRule="auto"/>
        <w:ind w:firstLine="480" w:firstLineChars="200"/>
        <w:rPr>
          <w:rFonts w:hint="eastAsia" w:ascii="宋体" w:hAnsi="宋体"/>
          <w:color w:val="auto"/>
          <w:sz w:val="24"/>
          <w:szCs w:val="24"/>
          <w:highlight w:val="none"/>
        </w:rPr>
      </w:pPr>
    </w:p>
    <w:p w14:paraId="5E6F4E99">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4．</w:t>
      </w:r>
      <w:r>
        <w:rPr>
          <w:rFonts w:hint="eastAsia" w:ascii="宋体" w:hAnsi="宋体" w:cs="仿宋"/>
          <w:b/>
          <w:bCs/>
          <w:color w:val="auto"/>
          <w:sz w:val="24"/>
          <w:szCs w:val="24"/>
          <w:highlight w:val="none"/>
        </w:rPr>
        <w:t>质量保修费用</w:t>
      </w:r>
    </w:p>
    <w:p w14:paraId="6F27301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w:t>
      </w:r>
      <w:r>
        <w:rPr>
          <w:rFonts w:ascii="宋体" w:hAnsi="宋体"/>
          <w:color w:val="auto"/>
          <w:sz w:val="24"/>
          <w:szCs w:val="24"/>
          <w:highlight w:val="none"/>
        </w:rPr>
        <w:t>工程质量保修金为合同结算价款的</w:t>
      </w:r>
      <w:r>
        <w:rPr>
          <w:rFonts w:ascii="宋体" w:hAnsi="宋体"/>
          <w:color w:val="auto"/>
          <w:sz w:val="24"/>
          <w:szCs w:val="24"/>
          <w:highlight w:val="none"/>
          <w:u w:val="single"/>
        </w:rPr>
        <w:t xml:space="preserve"> </w:t>
      </w:r>
      <w:r>
        <w:rPr>
          <w:rFonts w:ascii="宋体" w:hAnsi="宋体"/>
          <w:bCs/>
          <w:color w:val="auto"/>
          <w:sz w:val="24"/>
          <w:szCs w:val="24"/>
          <w:highlight w:val="none"/>
          <w:u w:val="single"/>
        </w:rPr>
        <w:t>3</w:t>
      </w:r>
      <w:r>
        <w:rPr>
          <w:rFonts w:ascii="宋体" w:hAnsi="宋体"/>
          <w:color w:val="auto"/>
          <w:sz w:val="24"/>
          <w:szCs w:val="24"/>
          <w:highlight w:val="none"/>
          <w:u w:val="single"/>
        </w:rPr>
        <w:t>%。</w:t>
      </w:r>
    </w:p>
    <w:p w14:paraId="4D6C49B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2</w:t>
      </w:r>
      <w:r>
        <w:rPr>
          <w:rFonts w:hint="eastAsia" w:ascii="宋体" w:hAnsi="宋体"/>
          <w:color w:val="auto"/>
          <w:sz w:val="24"/>
          <w:szCs w:val="24"/>
          <w:highlight w:val="none"/>
          <w:u w:val="single"/>
        </w:rPr>
        <w:t>承包人未在规定的时间内</w:t>
      </w:r>
      <w:r>
        <w:rPr>
          <w:rFonts w:ascii="宋体" w:hAnsi="宋体"/>
          <w:color w:val="auto"/>
          <w:sz w:val="24"/>
          <w:szCs w:val="24"/>
          <w:highlight w:val="none"/>
          <w:u w:val="single"/>
        </w:rPr>
        <w:t>进行维修</w:t>
      </w:r>
      <w:r>
        <w:rPr>
          <w:rFonts w:hint="eastAsia" w:ascii="宋体" w:hAnsi="宋体"/>
          <w:color w:val="auto"/>
          <w:sz w:val="24"/>
          <w:szCs w:val="24"/>
          <w:highlight w:val="none"/>
          <w:u w:val="single"/>
        </w:rPr>
        <w:t>的，发包人有权另行委托施工</w:t>
      </w:r>
      <w:r>
        <w:rPr>
          <w:rFonts w:ascii="宋体" w:hAnsi="宋体"/>
          <w:color w:val="auto"/>
          <w:sz w:val="24"/>
          <w:szCs w:val="24"/>
          <w:highlight w:val="none"/>
          <w:u w:val="single"/>
        </w:rPr>
        <w:t>，</w:t>
      </w:r>
      <w:r>
        <w:rPr>
          <w:rFonts w:hint="eastAsia" w:ascii="宋体" w:hAnsi="宋体"/>
          <w:color w:val="auto"/>
          <w:sz w:val="24"/>
          <w:szCs w:val="24"/>
          <w:highlight w:val="none"/>
          <w:u w:val="single"/>
        </w:rPr>
        <w:t>发生的</w:t>
      </w:r>
      <w:r>
        <w:rPr>
          <w:rFonts w:ascii="宋体" w:hAnsi="宋体"/>
          <w:color w:val="auto"/>
          <w:sz w:val="24"/>
          <w:szCs w:val="24"/>
          <w:highlight w:val="none"/>
          <w:u w:val="single"/>
        </w:rPr>
        <w:t>费用由承包人承担</w:t>
      </w:r>
      <w:r>
        <w:rPr>
          <w:rFonts w:hint="eastAsia" w:ascii="宋体" w:hAnsi="宋体"/>
          <w:color w:val="auto"/>
          <w:sz w:val="24"/>
          <w:szCs w:val="24"/>
          <w:highlight w:val="none"/>
          <w:u w:val="single"/>
        </w:rPr>
        <w:t>，在保修金中扣除，</w:t>
      </w:r>
      <w:r>
        <w:rPr>
          <w:rFonts w:ascii="宋体" w:hAnsi="宋体"/>
          <w:color w:val="auto"/>
          <w:sz w:val="24"/>
          <w:szCs w:val="24"/>
          <w:highlight w:val="none"/>
          <w:u w:val="single"/>
        </w:rPr>
        <w:t>不足部分</w:t>
      </w:r>
      <w:r>
        <w:rPr>
          <w:rFonts w:hint="eastAsia" w:ascii="宋体" w:hAnsi="宋体"/>
          <w:color w:val="auto"/>
          <w:sz w:val="24"/>
          <w:szCs w:val="24"/>
          <w:highlight w:val="none"/>
          <w:u w:val="single"/>
        </w:rPr>
        <w:t>发包人有权</w:t>
      </w:r>
      <w:r>
        <w:rPr>
          <w:rFonts w:ascii="宋体" w:hAnsi="宋体"/>
          <w:color w:val="auto"/>
          <w:sz w:val="24"/>
          <w:szCs w:val="24"/>
          <w:highlight w:val="none"/>
          <w:u w:val="single"/>
        </w:rPr>
        <w:t>向承包人追偿。</w:t>
      </w:r>
    </w:p>
    <w:p w14:paraId="4E546185">
      <w:pPr>
        <w:spacing w:line="360" w:lineRule="auto"/>
        <w:ind w:firstLine="480" w:firstLineChars="200"/>
        <w:rPr>
          <w:rFonts w:hint="eastAsia" w:ascii="宋体" w:hAnsi="宋体"/>
          <w:color w:val="auto"/>
          <w:sz w:val="24"/>
          <w:szCs w:val="24"/>
          <w:highlight w:val="none"/>
        </w:rPr>
      </w:pPr>
    </w:p>
    <w:p w14:paraId="162E1112">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5．</w:t>
      </w:r>
      <w:r>
        <w:rPr>
          <w:rFonts w:hint="eastAsia" w:ascii="宋体" w:hAnsi="宋体" w:cs="仿宋"/>
          <w:b/>
          <w:bCs/>
          <w:color w:val="auto"/>
          <w:sz w:val="24"/>
          <w:szCs w:val="24"/>
          <w:highlight w:val="none"/>
        </w:rPr>
        <w:t>质量保证金</w:t>
      </w:r>
    </w:p>
    <w:p w14:paraId="0051ACA5">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lang w:val="zh-CN"/>
        </w:rPr>
        <w:t>质量保证金的约定、支付和使用与本合同第三部分《专用条款》第</w:t>
      </w:r>
      <w:r>
        <w:rPr>
          <w:rFonts w:hint="eastAsia" w:ascii="宋体" w:hAnsi="宋体" w:cs="仿宋"/>
          <w:color w:val="auto"/>
          <w:sz w:val="24"/>
          <w:szCs w:val="24"/>
          <w:highlight w:val="none"/>
        </w:rPr>
        <w:t>89</w:t>
      </w:r>
      <w:r>
        <w:rPr>
          <w:rFonts w:hint="eastAsia" w:ascii="宋体" w:hAnsi="宋体" w:cs="仿宋"/>
          <w:color w:val="auto"/>
          <w:sz w:val="24"/>
          <w:szCs w:val="24"/>
          <w:highlight w:val="none"/>
          <w:lang w:val="zh-CN"/>
        </w:rPr>
        <w:t>条赋予的约定</w:t>
      </w:r>
      <w:r>
        <w:rPr>
          <w:rFonts w:hint="eastAsia" w:ascii="宋体" w:hAnsi="宋体" w:cs="仿宋"/>
          <w:color w:val="auto"/>
          <w:sz w:val="24"/>
          <w:szCs w:val="24"/>
          <w:highlight w:val="none"/>
        </w:rPr>
        <w:t>一致。</w:t>
      </w:r>
    </w:p>
    <w:p w14:paraId="5858E5E5">
      <w:pPr>
        <w:spacing w:line="360" w:lineRule="auto"/>
        <w:ind w:firstLine="480" w:firstLineChars="200"/>
        <w:rPr>
          <w:rFonts w:hint="eastAsia" w:ascii="宋体" w:hAnsi="宋体"/>
          <w:color w:val="auto"/>
          <w:sz w:val="24"/>
          <w:szCs w:val="24"/>
          <w:highlight w:val="none"/>
        </w:rPr>
      </w:pPr>
    </w:p>
    <w:p w14:paraId="6578659F">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6．</w:t>
      </w:r>
      <w:r>
        <w:rPr>
          <w:rFonts w:hint="eastAsia" w:ascii="宋体" w:hAnsi="宋体" w:cs="仿宋"/>
          <w:b/>
          <w:bCs/>
          <w:color w:val="auto"/>
          <w:sz w:val="24"/>
          <w:szCs w:val="24"/>
          <w:highlight w:val="none"/>
        </w:rPr>
        <w:t>其他</w:t>
      </w:r>
    </w:p>
    <w:p w14:paraId="56DF6E69">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6.1  </w:t>
      </w:r>
      <w:r>
        <w:rPr>
          <w:rFonts w:hint="eastAsia" w:ascii="宋体" w:hAnsi="宋体" w:cs="仿宋"/>
          <w:color w:val="auto"/>
          <w:sz w:val="24"/>
          <w:szCs w:val="24"/>
          <w:highlight w:val="none"/>
          <w:lang w:val="zh-CN"/>
        </w:rPr>
        <w:t>合同双方当事人约定的其他质量保修事</w:t>
      </w:r>
      <w:r>
        <w:rPr>
          <w:rFonts w:hint="eastAsia" w:ascii="宋体" w:hAnsi="宋体" w:cs="仿宋"/>
          <w:color w:val="auto"/>
          <w:sz w:val="24"/>
          <w:szCs w:val="24"/>
          <w:highlight w:val="none"/>
        </w:rPr>
        <w:t>项：</w:t>
      </w:r>
      <w:r>
        <w:rPr>
          <w:rFonts w:hint="eastAsia" w:ascii="宋体" w:hAnsi="宋体"/>
          <w:color w:val="auto"/>
          <w:sz w:val="24"/>
          <w:szCs w:val="24"/>
          <w:highlight w:val="none"/>
          <w:u w:val="single"/>
        </w:rPr>
        <w:t xml:space="preserve">  /  </w:t>
      </w:r>
      <w:r>
        <w:rPr>
          <w:rFonts w:ascii="宋体" w:hAnsi="宋体"/>
          <w:color w:val="auto"/>
          <w:sz w:val="24"/>
          <w:szCs w:val="24"/>
          <w:highlight w:val="none"/>
          <w:u w:val="single"/>
        </w:rPr>
        <w:t>。</w:t>
      </w:r>
    </w:p>
    <w:p w14:paraId="549B9054">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6.2  </w:t>
      </w:r>
      <w:r>
        <w:rPr>
          <w:rFonts w:hint="eastAsia" w:ascii="宋体" w:hAnsi="宋体" w:cs="仿宋"/>
          <w:color w:val="auto"/>
          <w:sz w:val="24"/>
          <w:szCs w:val="24"/>
          <w:highlight w:val="none"/>
          <w:lang w:val="zh-CN"/>
        </w:rPr>
        <w:t>本质量保修书，由合同双方当事人在承包人向发包人提交竣工验收申请报告时签署，作为本合同的附件</w:t>
      </w:r>
      <w:r>
        <w:rPr>
          <w:rFonts w:hint="eastAsia" w:ascii="宋体" w:hAnsi="宋体" w:cs="仿宋"/>
          <w:color w:val="auto"/>
          <w:sz w:val="24"/>
          <w:szCs w:val="24"/>
          <w:highlight w:val="none"/>
        </w:rPr>
        <w:t>。</w:t>
      </w:r>
    </w:p>
    <w:p w14:paraId="6EFCCCB7">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6.3  </w:t>
      </w:r>
      <w:r>
        <w:rPr>
          <w:rFonts w:hint="eastAsia" w:ascii="宋体" w:hAnsi="宋体" w:cs="仿宋"/>
          <w:color w:val="auto"/>
          <w:sz w:val="24"/>
          <w:szCs w:val="24"/>
          <w:highlight w:val="none"/>
          <w:lang w:val="zh-CN"/>
        </w:rPr>
        <w:t>本质量保修书，自合同双方当事人签署之日起生效，至质量保修期满后失效。</w:t>
      </w:r>
    </w:p>
    <w:p w14:paraId="73467F64">
      <w:pPr>
        <w:spacing w:line="360" w:lineRule="auto"/>
        <w:ind w:firstLine="480" w:firstLineChars="200"/>
        <w:rPr>
          <w:rFonts w:hint="eastAsia" w:ascii="宋体" w:hAnsi="宋体"/>
          <w:color w:val="auto"/>
          <w:sz w:val="24"/>
          <w:szCs w:val="24"/>
          <w:highlight w:val="none"/>
        </w:rPr>
      </w:pPr>
    </w:p>
    <w:p w14:paraId="7292035B">
      <w:pPr>
        <w:spacing w:line="360" w:lineRule="auto"/>
        <w:ind w:firstLine="480" w:firstLineChars="200"/>
        <w:rPr>
          <w:rFonts w:hint="eastAsia" w:ascii="宋体" w:hAnsi="宋体"/>
          <w:color w:val="auto"/>
          <w:sz w:val="24"/>
          <w:szCs w:val="24"/>
          <w:highlight w:val="none"/>
        </w:rPr>
      </w:pPr>
    </w:p>
    <w:p w14:paraId="6697A6C7">
      <w:pPr>
        <w:spacing w:line="360" w:lineRule="auto"/>
        <w:ind w:firstLine="480" w:firstLineChars="200"/>
        <w:rPr>
          <w:rFonts w:hint="eastAsia" w:ascii="宋体" w:hAnsi="宋体"/>
          <w:color w:val="auto"/>
          <w:sz w:val="24"/>
          <w:szCs w:val="24"/>
          <w:highlight w:val="none"/>
        </w:rPr>
      </w:pPr>
    </w:p>
    <w:p w14:paraId="62E60FB6">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发 包 人：（盖章）                       承 包 人：（盖章）</w:t>
      </w:r>
    </w:p>
    <w:p w14:paraId="2EF596C7">
      <w:pPr>
        <w:spacing w:line="360" w:lineRule="auto"/>
        <w:ind w:firstLine="480" w:firstLineChars="200"/>
        <w:rPr>
          <w:rFonts w:hint="eastAsia" w:ascii="宋体" w:hAnsi="宋体" w:cs="仿宋"/>
          <w:color w:val="auto"/>
          <w:sz w:val="24"/>
          <w:szCs w:val="24"/>
          <w:highlight w:val="none"/>
        </w:rPr>
      </w:pPr>
    </w:p>
    <w:p w14:paraId="1EA62C15">
      <w:pPr>
        <w:pStyle w:val="16"/>
        <w:spacing w:line="360" w:lineRule="auto"/>
        <w:ind w:firstLine="480" w:firstLineChars="200"/>
        <w:rPr>
          <w:rFonts w:hint="eastAsia" w:hAnsi="宋体" w:cs="仿宋"/>
          <w:color w:val="auto"/>
          <w:sz w:val="24"/>
          <w:szCs w:val="24"/>
          <w:highlight w:val="none"/>
        </w:rPr>
      </w:pPr>
    </w:p>
    <w:p w14:paraId="67F5E8A9">
      <w:pPr>
        <w:spacing w:line="360" w:lineRule="auto"/>
        <w:ind w:firstLine="480" w:firstLineChars="200"/>
        <w:rPr>
          <w:rFonts w:hint="eastAsia" w:ascii="宋体" w:hAnsi="宋体" w:cs="仿宋"/>
          <w:color w:val="auto"/>
          <w:sz w:val="24"/>
          <w:szCs w:val="24"/>
          <w:highlight w:val="none"/>
        </w:rPr>
      </w:pPr>
    </w:p>
    <w:p w14:paraId="5FEB7CBA">
      <w:pPr>
        <w:pStyle w:val="16"/>
        <w:spacing w:line="360" w:lineRule="auto"/>
        <w:ind w:firstLine="400" w:firstLineChars="200"/>
        <w:rPr>
          <w:rFonts w:hint="eastAsia" w:hAnsi="宋体"/>
          <w:color w:val="auto"/>
          <w:highlight w:val="none"/>
        </w:rPr>
      </w:pPr>
    </w:p>
    <w:p w14:paraId="23C1409A">
      <w:pPr>
        <w:pStyle w:val="2"/>
        <w:spacing w:after="0" w:line="360" w:lineRule="auto"/>
        <w:ind w:firstLine="480" w:firstLineChars="200"/>
        <w:rPr>
          <w:rFonts w:hint="eastAsia" w:ascii="宋体" w:hAnsi="宋体"/>
          <w:color w:val="auto"/>
          <w:highlight w:val="none"/>
        </w:rPr>
      </w:pPr>
      <w:r>
        <w:rPr>
          <w:rFonts w:hint="eastAsia" w:ascii="宋体" w:hAnsi="宋体" w:cs="仿宋"/>
          <w:color w:val="auto"/>
          <w:sz w:val="24"/>
          <w:szCs w:val="24"/>
          <w:highlight w:val="none"/>
        </w:rPr>
        <w:t>签订日期：</w:t>
      </w:r>
      <w:r>
        <w:rPr>
          <w:rFonts w:hint="eastAsia" w:ascii="宋体" w:hAnsi="宋体" w:cs="仿宋"/>
          <w:color w:val="auto"/>
          <w:sz w:val="24"/>
          <w:szCs w:val="24"/>
          <w:highlight w:val="none"/>
          <w:u w:val="single"/>
        </w:rPr>
        <w:t>2026</w:t>
      </w:r>
      <w:r>
        <w:rPr>
          <w:rFonts w:hint="eastAsia" w:ascii="宋体" w:hAnsi="宋体" w:cs="仿宋"/>
          <w:color w:val="auto"/>
          <w:sz w:val="24"/>
          <w:szCs w:val="24"/>
          <w:highlight w:val="none"/>
        </w:rPr>
        <w:t>年</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月</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日</w:t>
      </w:r>
    </w:p>
    <w:p w14:paraId="1CE35740">
      <w:pPr>
        <w:widowControl/>
        <w:jc w:val="left"/>
        <w:rPr>
          <w:rFonts w:hint="eastAsia"/>
          <w:color w:val="auto"/>
          <w:highlight w:val="none"/>
        </w:rPr>
      </w:pPr>
      <w:r>
        <w:rPr>
          <w:rFonts w:hint="eastAsia"/>
          <w:color w:val="auto"/>
          <w:highlight w:val="none"/>
        </w:rPr>
        <w:br w:type="page"/>
      </w:r>
    </w:p>
    <w:p w14:paraId="6798209C">
      <w:pPr>
        <w:spacing w:line="360" w:lineRule="auto"/>
        <w:jc w:val="left"/>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附件四：</w:t>
      </w:r>
    </w:p>
    <w:p w14:paraId="4E3DAD0E">
      <w:pPr>
        <w:spacing w:line="360" w:lineRule="auto"/>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履约保函</w:t>
      </w:r>
    </w:p>
    <w:p w14:paraId="2F24C602">
      <w:pPr>
        <w:spacing w:line="360" w:lineRule="auto"/>
        <w:rPr>
          <w:rFonts w:hint="eastAsia" w:ascii="仿宋" w:hAnsi="仿宋" w:eastAsia="仿宋"/>
          <w:color w:val="auto"/>
          <w:highlight w:val="none"/>
        </w:rPr>
      </w:pPr>
    </w:p>
    <w:p w14:paraId="30CCFEFD">
      <w:pPr>
        <w:spacing w:line="360" w:lineRule="auto"/>
        <w:ind w:firstLine="420" w:firstLineChars="200"/>
        <w:rPr>
          <w:rFonts w:hint="eastAsia" w:ascii="宋体" w:hAnsi="宋体"/>
          <w:color w:val="auto"/>
          <w:sz w:val="24"/>
          <w:szCs w:val="24"/>
          <w:highlight w:val="none"/>
        </w:rPr>
      </w:pPr>
      <w:r>
        <w:rPr>
          <w:rFonts w:ascii="仿宋" w:hAnsi="仿宋" w:eastAsia="仿宋"/>
          <w:color w:val="auto"/>
          <w:highlight w:val="none"/>
        </w:rPr>
        <w:t>　</w:t>
      </w:r>
      <w:r>
        <w:rPr>
          <w:rFonts w:ascii="宋体" w:hAnsi="宋体"/>
          <w:color w:val="auto"/>
          <w:sz w:val="24"/>
          <w:szCs w:val="24"/>
          <w:highlight w:val="none"/>
        </w:rPr>
        <w:t>　根据贵方与</w:t>
      </w:r>
      <w:r>
        <w:rPr>
          <w:rFonts w:ascii="宋体" w:hAnsi="宋体"/>
          <w:color w:val="auto"/>
          <w:sz w:val="24"/>
          <w:szCs w:val="24"/>
          <w:highlight w:val="none"/>
          <w:u w:val="single"/>
        </w:rPr>
        <w:t xml:space="preserve">                           </w:t>
      </w:r>
      <w:r>
        <w:rPr>
          <w:rFonts w:ascii="宋体" w:hAnsi="宋体"/>
          <w:color w:val="auto"/>
          <w:sz w:val="24"/>
          <w:szCs w:val="24"/>
          <w:highlight w:val="none"/>
        </w:rPr>
        <w:t>（以下简称“承包人”）于    年 月 日在</w:t>
      </w:r>
      <w:r>
        <w:rPr>
          <w:rFonts w:ascii="宋体" w:hAnsi="宋体"/>
          <w:color w:val="auto"/>
          <w:sz w:val="24"/>
          <w:szCs w:val="24"/>
          <w:highlight w:val="none"/>
          <w:u w:val="single"/>
        </w:rPr>
        <w:t>广州市</w:t>
      </w:r>
      <w:r>
        <w:rPr>
          <w:rFonts w:ascii="宋体" w:hAnsi="宋体"/>
          <w:color w:val="auto"/>
          <w:sz w:val="24"/>
          <w:szCs w:val="24"/>
          <w:highlight w:val="none"/>
        </w:rPr>
        <w:t>签署的编号为</w:t>
      </w:r>
      <w:r>
        <w:rPr>
          <w:rFonts w:ascii="宋体" w:hAnsi="宋体"/>
          <w:color w:val="auto"/>
          <w:sz w:val="24"/>
          <w:szCs w:val="24"/>
          <w:highlight w:val="none"/>
          <w:u w:val="single"/>
        </w:rPr>
        <w:t xml:space="preserve">        </w:t>
      </w:r>
      <w:r>
        <w:rPr>
          <w:rFonts w:ascii="宋体" w:hAnsi="宋体"/>
          <w:color w:val="auto"/>
          <w:sz w:val="24"/>
          <w:szCs w:val="24"/>
          <w:highlight w:val="none"/>
        </w:rPr>
        <w:t>的</w:t>
      </w:r>
      <w:r>
        <w:rPr>
          <w:rFonts w:ascii="宋体" w:hAnsi="宋体"/>
          <w:color w:val="auto"/>
          <w:sz w:val="24"/>
          <w:szCs w:val="24"/>
          <w:highlight w:val="none"/>
          <w:u w:val="single"/>
        </w:rPr>
        <w:t>《   合同》</w:t>
      </w:r>
      <w:r>
        <w:rPr>
          <w:rFonts w:ascii="宋体" w:hAnsi="宋体"/>
          <w:color w:val="auto"/>
          <w:sz w:val="24"/>
          <w:szCs w:val="24"/>
          <w:highlight w:val="none"/>
        </w:rPr>
        <w:t>（以下简称“合同”），本行同意开立以贵方为受益人的不可撤销履约保函。</w:t>
      </w:r>
    </w:p>
    <w:p w14:paraId="435EF59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本行的保证范围是承包人未按照合同的约定履行义务，应承担的违约金或给贵方造成的经济损失。本行保证的金额是合同约定总价款的</w:t>
      </w:r>
      <w:r>
        <w:rPr>
          <w:rFonts w:hint="eastAsia" w:ascii="宋体" w:hAnsi="宋体"/>
          <w:color w:val="auto"/>
          <w:sz w:val="24"/>
          <w:szCs w:val="24"/>
          <w:highlight w:val="none"/>
        </w:rPr>
        <w:t>10</w:t>
      </w:r>
      <w:r>
        <w:rPr>
          <w:rFonts w:ascii="宋体" w:hAnsi="宋体"/>
          <w:color w:val="auto"/>
          <w:sz w:val="24"/>
          <w:szCs w:val="24"/>
          <w:highlight w:val="none"/>
        </w:rPr>
        <w:t>%，数额最高不超过人民币</w:t>
      </w:r>
      <w:r>
        <w:rPr>
          <w:rFonts w:ascii="宋体" w:hAnsi="宋体"/>
          <w:color w:val="auto"/>
          <w:sz w:val="24"/>
          <w:szCs w:val="24"/>
          <w:highlight w:val="none"/>
          <w:u w:val="single"/>
        </w:rPr>
        <w:t xml:space="preserve">    </w:t>
      </w:r>
      <w:r>
        <w:rPr>
          <w:rFonts w:ascii="宋体" w:hAnsi="宋体"/>
          <w:color w:val="auto"/>
          <w:sz w:val="24"/>
          <w:szCs w:val="24"/>
          <w:highlight w:val="none"/>
        </w:rPr>
        <w:t>元（大写：</w:t>
      </w:r>
      <w:r>
        <w:rPr>
          <w:rFonts w:ascii="宋体" w:hAnsi="宋体"/>
          <w:color w:val="auto"/>
          <w:sz w:val="24"/>
          <w:szCs w:val="24"/>
          <w:highlight w:val="none"/>
          <w:u w:val="single"/>
        </w:rPr>
        <w:t xml:space="preserve">              </w:t>
      </w:r>
      <w:r>
        <w:rPr>
          <w:rFonts w:ascii="宋体" w:hAnsi="宋体"/>
          <w:color w:val="auto"/>
          <w:sz w:val="24"/>
          <w:szCs w:val="24"/>
          <w:highlight w:val="none"/>
        </w:rPr>
        <w:t>）。</w:t>
      </w:r>
    </w:p>
    <w:p w14:paraId="2D009F3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在贵方书面提出要求索赔通知时，本行不挑剔、不争辩、也不要求贵方出具承包人的违约证明或说明背景、理由，并保证在收到贵方索赔通知书5个工作日内无条件支付。贵方单次索赔或者累计索赔总额以上述最高担保金额为限。</w:t>
      </w:r>
    </w:p>
    <w:p w14:paraId="0BE8B00A">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本行放弃贵方应先向承包人要求赔偿上述金额后之后再向本行提出要求的权利。</w:t>
      </w:r>
    </w:p>
    <w:p w14:paraId="78B625C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本行进一步同意在贵方和承包人之间的合同条件、合同项下的工程或合同文件发生变化、补充或修改后，本行承担本保函的责任也不改变，有关上述变化、补充和修改也无须通知本行。</w:t>
      </w:r>
    </w:p>
    <w:p w14:paraId="7ED5362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本履约保函自开立之日起直至上述最高担保金额支付完毕或承包人交付合同项下工程且验收合格</w:t>
      </w:r>
      <w:r>
        <w:rPr>
          <w:rFonts w:hint="eastAsia" w:ascii="宋体" w:hAnsi="宋体"/>
          <w:color w:val="auto"/>
          <w:sz w:val="24"/>
          <w:szCs w:val="24"/>
          <w:highlight w:val="none"/>
        </w:rPr>
        <w:t>、承包人向发包人提交完整的结算资料</w:t>
      </w:r>
      <w:r>
        <w:rPr>
          <w:rFonts w:ascii="宋体" w:hAnsi="宋体"/>
          <w:color w:val="auto"/>
          <w:sz w:val="24"/>
          <w:szCs w:val="24"/>
          <w:highlight w:val="none"/>
        </w:rPr>
        <w:t>后30天内一直有效。</w:t>
      </w:r>
    </w:p>
    <w:p w14:paraId="548CAE12">
      <w:pPr>
        <w:spacing w:line="360" w:lineRule="auto"/>
        <w:ind w:firstLine="480" w:firstLineChars="200"/>
        <w:rPr>
          <w:rFonts w:hint="eastAsia" w:ascii="宋体" w:hAnsi="宋体"/>
          <w:color w:val="auto"/>
          <w:sz w:val="24"/>
          <w:szCs w:val="24"/>
          <w:highlight w:val="none"/>
        </w:rPr>
      </w:pPr>
    </w:p>
    <w:p w14:paraId="33FED24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保证人：(银行盖章)</w:t>
      </w:r>
    </w:p>
    <w:p w14:paraId="51D5397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　　                               法定代表人（盖章）： </w:t>
      </w:r>
    </w:p>
    <w:p w14:paraId="7C0B78DA">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　　　　                           日期： </w:t>
      </w:r>
      <w:r>
        <w:rPr>
          <w:rFonts w:hint="eastAsia" w:ascii="宋体" w:hAnsi="宋体"/>
          <w:color w:val="auto"/>
          <w:sz w:val="24"/>
          <w:szCs w:val="24"/>
          <w:highlight w:val="none"/>
        </w:rPr>
        <w:t xml:space="preserve">    </w:t>
      </w:r>
      <w:r>
        <w:rPr>
          <w:rFonts w:ascii="宋体" w:hAnsi="宋体"/>
          <w:color w:val="auto"/>
          <w:sz w:val="24"/>
          <w:szCs w:val="24"/>
          <w:highlight w:val="none"/>
        </w:rPr>
        <w:t>年    月    日</w:t>
      </w:r>
    </w:p>
    <w:p w14:paraId="746AABE8">
      <w:pPr>
        <w:pStyle w:val="2"/>
        <w:rPr>
          <w:rFonts w:hint="eastAsia"/>
          <w:color w:val="auto"/>
          <w:highlight w:val="none"/>
        </w:rPr>
      </w:pPr>
    </w:p>
    <w:bookmarkEnd w:id="10"/>
    <w:sectPr>
      <w:headerReference r:id="rId3" w:type="default"/>
      <w:footerReference r:id="rId4" w:type="default"/>
      <w:pgSz w:w="11920" w:h="16840"/>
      <w:pgMar w:top="1440" w:right="1797" w:bottom="1440" w:left="1797" w:header="720" w:footer="720" w:gutter="0"/>
      <w:cols w:space="1701"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Arial Unicode MS"/>
    <w:panose1 w:val="02010600030101010101"/>
    <w:charset w:val="88"/>
    <w:family w:val="script"/>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B"/>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SimSun-ExtB">
    <w:panose1 w:val="02010609060101010101"/>
    <w:charset w:val="86"/>
    <w:family w:val="auto"/>
    <w:pitch w:val="default"/>
    <w:sig w:usb0="00000001" w:usb1="02000000" w:usb2="00000000" w:usb3="00000000" w:csb0="00040001"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KSOF03D97CA7">
    <w:panose1 w:val="020B0604020202020204"/>
    <w:charset w:val="86"/>
    <w:family w:val="auto"/>
    <w:pitch w:val="default"/>
    <w:sig w:usb0="00000001" w:usb1="00000000" w:usb2="00000000" w:usb3="00000000" w:csb0="00040001" w:csb1="00000000"/>
  </w:font>
  <w:font w:name="KSOF3F479A88">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F005">
    <w:pPr>
      <w:pStyle w:val="19"/>
      <w:jc w:val="center"/>
      <w:rPr>
        <w:rFonts w:hint="eastAsia"/>
      </w:rPr>
    </w:pPr>
    <w:r>
      <w:fldChar w:fldCharType="begin"/>
    </w:r>
    <w:r>
      <w:instrText xml:space="preserve"> PAGE   \* MERGEFORMAT </w:instrText>
    </w:r>
    <w:r>
      <w:fldChar w:fldCharType="separate"/>
    </w:r>
    <w:r>
      <w:rPr>
        <w:lang w:val="zh-CN"/>
      </w:rPr>
      <w:t>1</w:t>
    </w:r>
    <w:r>
      <w:rPr>
        <w:lang w:val="zh-CN"/>
      </w:rPr>
      <w:fldChar w:fldCharType="end"/>
    </w:r>
  </w:p>
  <w:p w14:paraId="3CA2B281">
    <w:pPr>
      <w:pStyle w:val="1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EE6D">
    <w:pPr>
      <w:pStyle w:val="20"/>
      <w:pBdr>
        <w:bottom w:val="none" w:color="000000"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C5257"/>
    <w:multiLevelType w:val="multilevel"/>
    <w:tmpl w:val="02EC5257"/>
    <w:lvl w:ilvl="0" w:tentative="0">
      <w:start w:val="7"/>
      <w:numFmt w:val="chineseCounting"/>
      <w:suff w:val="nothing"/>
      <w:lvlText w:val="第%1条　"/>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B2"/>
    <w:rsid w:val="000B1462"/>
    <w:rsid w:val="000C25D9"/>
    <w:rsid w:val="00120155"/>
    <w:rsid w:val="00130255"/>
    <w:rsid w:val="001623F5"/>
    <w:rsid w:val="001C554D"/>
    <w:rsid w:val="001D709F"/>
    <w:rsid w:val="001F6A9E"/>
    <w:rsid w:val="00264A1F"/>
    <w:rsid w:val="00270FB6"/>
    <w:rsid w:val="002A19B7"/>
    <w:rsid w:val="00314E4F"/>
    <w:rsid w:val="00324C33"/>
    <w:rsid w:val="00397265"/>
    <w:rsid w:val="003C2293"/>
    <w:rsid w:val="003C42EE"/>
    <w:rsid w:val="0040385A"/>
    <w:rsid w:val="0045655E"/>
    <w:rsid w:val="004A0D21"/>
    <w:rsid w:val="004A48A0"/>
    <w:rsid w:val="005043D1"/>
    <w:rsid w:val="00541849"/>
    <w:rsid w:val="0054212D"/>
    <w:rsid w:val="005B000A"/>
    <w:rsid w:val="00621CC9"/>
    <w:rsid w:val="00633BE9"/>
    <w:rsid w:val="006A7C84"/>
    <w:rsid w:val="007453BC"/>
    <w:rsid w:val="0076230D"/>
    <w:rsid w:val="008F5B46"/>
    <w:rsid w:val="009630B2"/>
    <w:rsid w:val="00A578CF"/>
    <w:rsid w:val="00AC719D"/>
    <w:rsid w:val="00AE78CE"/>
    <w:rsid w:val="00B453AE"/>
    <w:rsid w:val="00BD57BD"/>
    <w:rsid w:val="00BF4BCD"/>
    <w:rsid w:val="00C24DE6"/>
    <w:rsid w:val="00C5132E"/>
    <w:rsid w:val="00C55EA4"/>
    <w:rsid w:val="00C673DA"/>
    <w:rsid w:val="00C760C8"/>
    <w:rsid w:val="00CB16B2"/>
    <w:rsid w:val="00D27F8F"/>
    <w:rsid w:val="00D612FC"/>
    <w:rsid w:val="00E019A7"/>
    <w:rsid w:val="00E464CB"/>
    <w:rsid w:val="00F95431"/>
    <w:rsid w:val="00FD1902"/>
    <w:rsid w:val="00FD2CB0"/>
    <w:rsid w:val="1C32791A"/>
    <w:rsid w:val="7476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paragraph" w:styleId="3">
    <w:name w:val="heading 1"/>
    <w:basedOn w:val="1"/>
    <w:next w:val="1"/>
    <w:link w:val="36"/>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3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8"/>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9"/>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40"/>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41"/>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42"/>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3"/>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4"/>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56"/>
    <w:unhideWhenUsed/>
    <w:qFormat/>
    <w:uiPriority w:val="99"/>
    <w:pPr>
      <w:spacing w:after="120"/>
    </w:pPr>
  </w:style>
  <w:style w:type="paragraph" w:styleId="12">
    <w:name w:val="toc 7"/>
    <w:basedOn w:val="1"/>
    <w:next w:val="1"/>
    <w:unhideWhenUsed/>
    <w:uiPriority w:val="39"/>
    <w:pPr>
      <w:spacing w:after="57"/>
      <w:ind w:left="1701"/>
    </w:pPr>
  </w:style>
  <w:style w:type="paragraph" w:styleId="13">
    <w:name w:val="caption"/>
    <w:basedOn w:val="1"/>
    <w:next w:val="1"/>
    <w:unhideWhenUsed/>
    <w:qFormat/>
    <w:uiPriority w:val="0"/>
    <w:pPr>
      <w:spacing w:line="276" w:lineRule="auto"/>
    </w:pPr>
    <w:rPr>
      <w:b/>
      <w:bCs/>
      <w:color w:val="4F81BD"/>
      <w:sz w:val="18"/>
      <w:szCs w:val="18"/>
    </w:rPr>
  </w:style>
  <w:style w:type="paragraph" w:styleId="14">
    <w:name w:val="toc 5"/>
    <w:basedOn w:val="1"/>
    <w:next w:val="1"/>
    <w:unhideWhenUsed/>
    <w:uiPriority w:val="39"/>
    <w:pPr>
      <w:spacing w:after="57"/>
      <w:ind w:left="1134"/>
    </w:pPr>
  </w:style>
  <w:style w:type="paragraph" w:styleId="15">
    <w:name w:val="toc 3"/>
    <w:basedOn w:val="1"/>
    <w:next w:val="1"/>
    <w:unhideWhenUsed/>
    <w:uiPriority w:val="39"/>
    <w:pPr>
      <w:spacing w:after="57"/>
      <w:ind w:left="567"/>
    </w:pPr>
  </w:style>
  <w:style w:type="paragraph" w:styleId="16">
    <w:name w:val="Plain Text"/>
    <w:basedOn w:val="1"/>
    <w:next w:val="1"/>
    <w:link w:val="200"/>
    <w:qFormat/>
    <w:uiPriority w:val="99"/>
    <w:rPr>
      <w:rFonts w:ascii="宋体" w:hAnsi="Courier New"/>
      <w:kern w:val="0"/>
      <w:sz w:val="20"/>
      <w:szCs w:val="20"/>
    </w:rPr>
  </w:style>
  <w:style w:type="paragraph" w:styleId="17">
    <w:name w:val="toc 8"/>
    <w:basedOn w:val="1"/>
    <w:next w:val="1"/>
    <w:unhideWhenUsed/>
    <w:uiPriority w:val="39"/>
    <w:pPr>
      <w:spacing w:after="57"/>
      <w:ind w:left="1984"/>
    </w:pPr>
  </w:style>
  <w:style w:type="paragraph" w:styleId="18">
    <w:name w:val="endnote text"/>
    <w:basedOn w:val="1"/>
    <w:link w:val="57"/>
    <w:semiHidden/>
    <w:unhideWhenUsed/>
    <w:uiPriority w:val="99"/>
    <w:rPr>
      <w:sz w:val="20"/>
    </w:rPr>
  </w:style>
  <w:style w:type="paragraph" w:styleId="19">
    <w:name w:val="footer"/>
    <w:basedOn w:val="1"/>
    <w:link w:val="55"/>
    <w:unhideWhenUsed/>
    <w:qFormat/>
    <w:uiPriority w:val="0"/>
    <w:pPr>
      <w:tabs>
        <w:tab w:val="center" w:pos="4153"/>
        <w:tab w:val="right" w:pos="8306"/>
      </w:tabs>
      <w:snapToGrid w:val="0"/>
      <w:jc w:val="left"/>
    </w:pPr>
    <w:rPr>
      <w:sz w:val="18"/>
      <w:szCs w:val="18"/>
    </w:rPr>
  </w:style>
  <w:style w:type="paragraph" w:styleId="20">
    <w:name w:val="header"/>
    <w:basedOn w:val="1"/>
    <w:link w:val="54"/>
    <w:unhideWhenUsed/>
    <w:qFormat/>
    <w:uiPriority w:val="0"/>
    <w:pPr>
      <w:tabs>
        <w:tab w:val="center" w:pos="4153"/>
        <w:tab w:val="right" w:pos="8306"/>
      </w:tabs>
      <w:snapToGrid w:val="0"/>
      <w:jc w:val="center"/>
    </w:pPr>
    <w:rPr>
      <w:sz w:val="18"/>
      <w:szCs w:val="18"/>
    </w:rPr>
  </w:style>
  <w:style w:type="paragraph" w:styleId="21">
    <w:name w:val="toc 1"/>
    <w:basedOn w:val="1"/>
    <w:next w:val="1"/>
    <w:unhideWhenUsed/>
    <w:qFormat/>
    <w:uiPriority w:val="39"/>
    <w:pPr>
      <w:spacing w:after="57"/>
    </w:pPr>
  </w:style>
  <w:style w:type="paragraph" w:styleId="22">
    <w:name w:val="toc 4"/>
    <w:basedOn w:val="1"/>
    <w:next w:val="1"/>
    <w:unhideWhenUsed/>
    <w:uiPriority w:val="39"/>
    <w:pPr>
      <w:spacing w:after="57"/>
      <w:ind w:left="850"/>
    </w:pPr>
  </w:style>
  <w:style w:type="paragraph" w:styleId="23">
    <w:name w:val="Subtitle"/>
    <w:basedOn w:val="1"/>
    <w:next w:val="1"/>
    <w:link w:val="4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58"/>
    <w:semiHidden/>
    <w:unhideWhenUsed/>
    <w:uiPriority w:val="99"/>
    <w:pPr>
      <w:spacing w:after="40"/>
    </w:pPr>
    <w:rPr>
      <w:sz w:val="18"/>
    </w:rPr>
  </w:style>
  <w:style w:type="paragraph" w:styleId="25">
    <w:name w:val="toc 6"/>
    <w:basedOn w:val="1"/>
    <w:next w:val="1"/>
    <w:unhideWhenUsed/>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4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31">
    <w:name w:val="Table Grid"/>
    <w:basedOn w:val="30"/>
    <w:qFormat/>
    <w:uiPriority w:val="0"/>
    <w:pPr>
      <w:widowControl w:val="0"/>
      <w:jc w:val="both"/>
    </w:pPr>
    <w:rPr>
      <w:rFonts w:ascii="等线" w:hAnsi="等线"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ndnote reference"/>
    <w:semiHidden/>
    <w:unhideWhenUsed/>
    <w:uiPriority w:val="99"/>
    <w:rPr>
      <w:vertAlign w:val="superscript"/>
    </w:rPr>
  </w:style>
  <w:style w:type="character" w:styleId="34">
    <w:name w:val="Hyperlink"/>
    <w:unhideWhenUsed/>
    <w:qFormat/>
    <w:uiPriority w:val="99"/>
    <w:rPr>
      <w:color w:val="0000FF"/>
      <w:u w:val="single"/>
    </w:rPr>
  </w:style>
  <w:style w:type="character" w:styleId="35">
    <w:name w:val="footnote reference"/>
    <w:unhideWhenUsed/>
    <w:qFormat/>
    <w:uiPriority w:val="99"/>
    <w:rPr>
      <w:vertAlign w:val="superscript"/>
    </w:rPr>
  </w:style>
  <w:style w:type="character" w:customStyle="1" w:styleId="36">
    <w:name w:val="标题 1 字符"/>
    <w:basedOn w:val="32"/>
    <w:link w:val="3"/>
    <w:qFormat/>
    <w:uiPriority w:val="9"/>
    <w:rPr>
      <w:rFonts w:asciiTheme="majorHAnsi" w:hAnsiTheme="majorHAnsi" w:eastAsiaTheme="majorEastAsia" w:cstheme="majorBidi"/>
      <w:color w:val="104862" w:themeColor="accent1" w:themeShade="BF"/>
      <w:sz w:val="48"/>
      <w:szCs w:val="48"/>
    </w:rPr>
  </w:style>
  <w:style w:type="character" w:customStyle="1" w:styleId="37">
    <w:name w:val="标题 2 字符"/>
    <w:basedOn w:val="32"/>
    <w:link w:val="4"/>
    <w:qFormat/>
    <w:uiPriority w:val="9"/>
    <w:rPr>
      <w:rFonts w:asciiTheme="majorHAnsi" w:hAnsiTheme="majorHAnsi" w:eastAsiaTheme="majorEastAsia" w:cstheme="majorBidi"/>
      <w:color w:val="104862" w:themeColor="accent1" w:themeShade="BF"/>
      <w:sz w:val="40"/>
      <w:szCs w:val="40"/>
    </w:rPr>
  </w:style>
  <w:style w:type="character" w:customStyle="1" w:styleId="38">
    <w:name w:val="标题 3 字符"/>
    <w:basedOn w:val="32"/>
    <w:link w:val="5"/>
    <w:qFormat/>
    <w:uiPriority w:val="9"/>
    <w:rPr>
      <w:rFonts w:asciiTheme="majorHAnsi" w:hAnsiTheme="majorHAnsi" w:eastAsiaTheme="majorEastAsia" w:cstheme="majorBidi"/>
      <w:color w:val="104862" w:themeColor="accent1" w:themeShade="BF"/>
      <w:sz w:val="32"/>
      <w:szCs w:val="32"/>
    </w:rPr>
  </w:style>
  <w:style w:type="character" w:customStyle="1" w:styleId="39">
    <w:name w:val="标题 4 字符"/>
    <w:basedOn w:val="32"/>
    <w:link w:val="6"/>
    <w:uiPriority w:val="9"/>
    <w:rPr>
      <w:rFonts w:cstheme="majorBidi"/>
      <w:color w:val="104862" w:themeColor="accent1" w:themeShade="BF"/>
      <w:sz w:val="28"/>
      <w:szCs w:val="28"/>
    </w:rPr>
  </w:style>
  <w:style w:type="character" w:customStyle="1" w:styleId="40">
    <w:name w:val="标题 5 字符"/>
    <w:basedOn w:val="32"/>
    <w:link w:val="7"/>
    <w:qFormat/>
    <w:uiPriority w:val="9"/>
    <w:rPr>
      <w:rFonts w:cstheme="majorBidi"/>
      <w:color w:val="104862" w:themeColor="accent1" w:themeShade="BF"/>
      <w:sz w:val="24"/>
      <w:szCs w:val="24"/>
    </w:rPr>
  </w:style>
  <w:style w:type="character" w:customStyle="1" w:styleId="41">
    <w:name w:val="标题 6 字符"/>
    <w:basedOn w:val="32"/>
    <w:link w:val="8"/>
    <w:qFormat/>
    <w:uiPriority w:val="9"/>
    <w:rPr>
      <w:rFonts w:cstheme="majorBidi"/>
      <w:b/>
      <w:bCs/>
      <w:color w:val="104862" w:themeColor="accent1" w:themeShade="BF"/>
    </w:rPr>
  </w:style>
  <w:style w:type="character" w:customStyle="1" w:styleId="42">
    <w:name w:val="标题 7 字符"/>
    <w:basedOn w:val="32"/>
    <w:link w:val="9"/>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3">
    <w:name w:val="标题 8 字符"/>
    <w:basedOn w:val="32"/>
    <w:link w:val="10"/>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4">
    <w:name w:val="标题 9 字符"/>
    <w:basedOn w:val="32"/>
    <w:link w:val="11"/>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5">
    <w:name w:val="标题 字符"/>
    <w:basedOn w:val="32"/>
    <w:link w:val="29"/>
    <w:qFormat/>
    <w:uiPriority w:val="10"/>
    <w:rPr>
      <w:rFonts w:asciiTheme="majorHAnsi" w:hAnsiTheme="majorHAnsi" w:eastAsiaTheme="majorEastAsia" w:cstheme="majorBidi"/>
      <w:spacing w:val="-10"/>
      <w:kern w:val="28"/>
      <w:sz w:val="56"/>
      <w:szCs w:val="56"/>
    </w:rPr>
  </w:style>
  <w:style w:type="character" w:customStyle="1" w:styleId="46">
    <w:name w:val="副标题 字符"/>
    <w:basedOn w:val="32"/>
    <w:link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7">
    <w:name w:val="Quote"/>
    <w:basedOn w:val="1"/>
    <w:next w:val="1"/>
    <w:link w:val="4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8">
    <w:name w:val="引用 字符"/>
    <w:basedOn w:val="32"/>
    <w:link w:val="47"/>
    <w:uiPriority w:val="29"/>
    <w:rPr>
      <w:i/>
      <w:iCs/>
      <w:color w:val="404040" w:themeColor="text1" w:themeTint="BF"/>
      <w14:textFill>
        <w14:solidFill>
          <w14:schemeClr w14:val="tx1">
            <w14:lumMod w14:val="75000"/>
            <w14:lumOff w14:val="25000"/>
          </w14:schemeClr>
        </w14:solidFill>
      </w14:textFill>
    </w:rPr>
  </w:style>
  <w:style w:type="paragraph" w:styleId="49">
    <w:name w:val="List Paragraph"/>
    <w:basedOn w:val="1"/>
    <w:qFormat/>
    <w:uiPriority w:val="99"/>
    <w:pPr>
      <w:ind w:left="720"/>
      <w:contextualSpacing/>
    </w:pPr>
  </w:style>
  <w:style w:type="character" w:customStyle="1" w:styleId="50">
    <w:name w:val="Intense Emphasis"/>
    <w:basedOn w:val="32"/>
    <w:qFormat/>
    <w:uiPriority w:val="21"/>
    <w:rPr>
      <w:i/>
      <w:iCs/>
      <w:color w:val="104862" w:themeColor="accent1" w:themeShade="BF"/>
    </w:rPr>
  </w:style>
  <w:style w:type="paragraph" w:styleId="51">
    <w:name w:val="Intense Quote"/>
    <w:basedOn w:val="1"/>
    <w:next w:val="1"/>
    <w:link w:val="5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2">
    <w:name w:val="明显引用 字符"/>
    <w:basedOn w:val="32"/>
    <w:link w:val="51"/>
    <w:uiPriority w:val="30"/>
    <w:rPr>
      <w:i/>
      <w:iCs/>
      <w:color w:val="104862" w:themeColor="accent1" w:themeShade="BF"/>
    </w:rPr>
  </w:style>
  <w:style w:type="character" w:customStyle="1" w:styleId="53">
    <w:name w:val="Intense Reference"/>
    <w:basedOn w:val="32"/>
    <w:qFormat/>
    <w:uiPriority w:val="32"/>
    <w:rPr>
      <w:b/>
      <w:bCs/>
      <w:smallCaps/>
      <w:color w:val="104862" w:themeColor="accent1" w:themeShade="BF"/>
      <w:spacing w:val="5"/>
    </w:rPr>
  </w:style>
  <w:style w:type="character" w:customStyle="1" w:styleId="54">
    <w:name w:val="页眉 字符"/>
    <w:basedOn w:val="32"/>
    <w:link w:val="20"/>
    <w:uiPriority w:val="99"/>
    <w:rPr>
      <w:sz w:val="18"/>
      <w:szCs w:val="18"/>
    </w:rPr>
  </w:style>
  <w:style w:type="character" w:customStyle="1" w:styleId="55">
    <w:name w:val="页脚 字符"/>
    <w:basedOn w:val="32"/>
    <w:link w:val="19"/>
    <w:uiPriority w:val="99"/>
    <w:rPr>
      <w:sz w:val="18"/>
      <w:szCs w:val="18"/>
    </w:rPr>
  </w:style>
  <w:style w:type="character" w:customStyle="1" w:styleId="56">
    <w:name w:val="正文文本 字符"/>
    <w:basedOn w:val="32"/>
    <w:link w:val="2"/>
    <w:uiPriority w:val="99"/>
    <w:rPr>
      <w:rFonts w:ascii="等线" w:hAnsi="等线" w:eastAsia="宋体" w:cs="Times New Roman"/>
    </w:rPr>
  </w:style>
  <w:style w:type="character" w:customStyle="1" w:styleId="57">
    <w:name w:val="尾注文本 字符"/>
    <w:basedOn w:val="32"/>
    <w:link w:val="18"/>
    <w:semiHidden/>
    <w:qFormat/>
    <w:uiPriority w:val="99"/>
    <w:rPr>
      <w:rFonts w:ascii="等线" w:hAnsi="等线" w:eastAsia="宋体" w:cs="Times New Roman"/>
      <w:sz w:val="20"/>
    </w:rPr>
  </w:style>
  <w:style w:type="character" w:customStyle="1" w:styleId="58">
    <w:name w:val="脚注文本 字符"/>
    <w:basedOn w:val="32"/>
    <w:link w:val="24"/>
    <w:semiHidden/>
    <w:uiPriority w:val="99"/>
    <w:rPr>
      <w:rFonts w:ascii="等线" w:hAnsi="等线" w:eastAsia="宋体" w:cs="Times New Roman"/>
      <w:sz w:val="18"/>
    </w:rPr>
  </w:style>
  <w:style w:type="paragraph" w:styleId="59">
    <w:name w:val="No Spacing"/>
    <w:qFormat/>
    <w:uiPriority w:val="1"/>
    <w:rPr>
      <w:rFonts w:ascii="等线" w:hAnsi="等线" w:eastAsia="宋体" w:cs="Times New Roman"/>
      <w:kern w:val="0"/>
      <w:sz w:val="20"/>
      <w:szCs w:val="20"/>
      <w:lang w:val="en-US" w:eastAsia="zh-CN" w:bidi="ar-SA"/>
    </w:rPr>
  </w:style>
  <w:style w:type="character" w:customStyle="1" w:styleId="60">
    <w:name w:val="Footer Char"/>
    <w:uiPriority w:val="99"/>
  </w:style>
  <w:style w:type="table" w:customStyle="1" w:styleId="61">
    <w:name w:val="Table Grid Light"/>
    <w:uiPriority w:val="59"/>
    <w:rPr>
      <w:rFonts w:ascii="等线" w:hAnsi="等线" w:eastAsia="宋体" w:cs="Times New Roman"/>
      <w:kern w:val="0"/>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2">
    <w:name w:val="无格式表格 11"/>
    <w:uiPriority w:val="59"/>
    <w:rPr>
      <w:rFonts w:ascii="等线" w:hAnsi="等线" w:eastAsia="宋体" w:cs="Times New Roman"/>
      <w:kern w:val="0"/>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3">
    <w:name w:val="无格式表格 21"/>
    <w:uiPriority w:val="59"/>
    <w:rPr>
      <w:rFonts w:ascii="等线" w:hAnsi="等线" w:eastAsia="宋体" w:cs="Times New Roman"/>
      <w:kern w:val="0"/>
      <w:sz w:val="20"/>
      <w:szCs w:val="20"/>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64">
    <w:name w:val="无格式表格 31"/>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65">
    <w:name w:val="无格式表格 41"/>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66">
    <w:name w:val="无格式表格 51"/>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67">
    <w:name w:val="网格表 1 浅色1"/>
    <w:uiPriority w:val="99"/>
    <w:rPr>
      <w:rFonts w:ascii="等线" w:hAnsi="等线" w:eastAsia="宋体" w:cs="Times New Roman"/>
      <w:kern w:val="0"/>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68">
    <w:name w:val="Grid Table 1 Light - Accent 1"/>
    <w:uiPriority w:val="99"/>
    <w:rPr>
      <w:rFonts w:ascii="等线" w:hAnsi="等线" w:eastAsia="宋体" w:cs="Times New Roman"/>
      <w:kern w:val="0"/>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69">
    <w:name w:val="Grid Table 1 Light - Accent 2"/>
    <w:uiPriority w:val="99"/>
    <w:rPr>
      <w:rFonts w:ascii="等线" w:hAnsi="等线" w:eastAsia="宋体" w:cs="Times New Roman"/>
      <w:kern w:val="0"/>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70">
    <w:name w:val="Grid Table 1 Light - Accent 3"/>
    <w:uiPriority w:val="99"/>
    <w:rPr>
      <w:rFonts w:ascii="等线" w:hAnsi="等线"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71">
    <w:name w:val="Grid Table 1 Light - Accent 4"/>
    <w:uiPriority w:val="99"/>
    <w:rPr>
      <w:rFonts w:ascii="等线" w:hAnsi="等线"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72">
    <w:name w:val="Grid Table 1 Light - Accent 5"/>
    <w:uiPriority w:val="99"/>
    <w:rPr>
      <w:rFonts w:ascii="等线" w:hAnsi="等线" w:eastAsia="宋体" w:cs="Times New Roman"/>
      <w:kern w:val="0"/>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73">
    <w:name w:val="Grid Table 1 Light - Accent 6"/>
    <w:uiPriority w:val="99"/>
    <w:rPr>
      <w:rFonts w:ascii="等线" w:hAnsi="等线"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74">
    <w:name w:val="网格表 21"/>
    <w:uiPriority w:val="99"/>
    <w:rPr>
      <w:rFonts w:ascii="等线" w:hAnsi="等线" w:eastAsia="宋体" w:cs="Times New Roman"/>
      <w:kern w:val="0"/>
      <w:sz w:val="20"/>
      <w:szCs w:val="20"/>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75">
    <w:name w:val="Grid Table 2 - Accent 1"/>
    <w:uiPriority w:val="99"/>
    <w:rPr>
      <w:rFonts w:ascii="等线" w:hAnsi="等线" w:eastAsia="宋体" w:cs="Times New Roman"/>
      <w:kern w:val="0"/>
      <w:sz w:val="20"/>
      <w:szCs w:val="20"/>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76">
    <w:name w:val="Grid Table 2 - Accent 2"/>
    <w:uiPriority w:val="99"/>
    <w:rPr>
      <w:rFonts w:ascii="等线" w:hAnsi="等线" w:eastAsia="宋体" w:cs="Times New Roman"/>
      <w:kern w:val="0"/>
      <w:sz w:val="20"/>
      <w:szCs w:val="20"/>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77">
    <w:name w:val="Grid Table 2 - Accent 3"/>
    <w:uiPriority w:val="99"/>
    <w:rPr>
      <w:rFonts w:ascii="等线" w:hAnsi="等线" w:eastAsia="宋体" w:cs="Times New Roman"/>
      <w:kern w:val="0"/>
      <w:sz w:val="20"/>
      <w:szCs w:val="20"/>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78">
    <w:name w:val="Grid Table 2 - Accent 4"/>
    <w:uiPriority w:val="99"/>
    <w:rPr>
      <w:rFonts w:ascii="等线" w:hAnsi="等线"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79">
    <w:name w:val="Grid Table 2 - Accent 5"/>
    <w:uiPriority w:val="99"/>
    <w:rPr>
      <w:rFonts w:ascii="等线" w:hAnsi="等线"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0">
    <w:name w:val="Grid Table 2 - Accent 6"/>
    <w:uiPriority w:val="99"/>
    <w:rPr>
      <w:rFonts w:ascii="等线" w:hAnsi="等线"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1">
    <w:name w:val="网格表 31"/>
    <w:uiPriority w:val="99"/>
    <w:rPr>
      <w:rFonts w:ascii="等线" w:hAnsi="等线" w:eastAsia="宋体" w:cs="Times New Roman"/>
      <w:kern w:val="0"/>
      <w:sz w:val="20"/>
      <w:szCs w:val="20"/>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2">
    <w:name w:val="Grid Table 3 - Accent 1"/>
    <w:qFormat/>
    <w:uiPriority w:val="99"/>
    <w:rPr>
      <w:rFonts w:ascii="等线" w:hAnsi="等线" w:eastAsia="宋体" w:cs="Times New Roman"/>
      <w:kern w:val="0"/>
      <w:sz w:val="20"/>
      <w:szCs w:val="20"/>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3">
    <w:name w:val="Grid Table 3 - Accent 2"/>
    <w:uiPriority w:val="99"/>
    <w:rPr>
      <w:rFonts w:ascii="等线" w:hAnsi="等线" w:eastAsia="宋体" w:cs="Times New Roman"/>
      <w:kern w:val="0"/>
      <w:sz w:val="20"/>
      <w:szCs w:val="20"/>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4">
    <w:name w:val="Grid Table 3 - Accent 3"/>
    <w:uiPriority w:val="99"/>
    <w:rPr>
      <w:rFonts w:ascii="等线" w:hAnsi="等线" w:eastAsia="宋体" w:cs="Times New Roman"/>
      <w:kern w:val="0"/>
      <w:sz w:val="20"/>
      <w:szCs w:val="20"/>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5">
    <w:name w:val="Grid Table 3 - Accent 4"/>
    <w:qFormat/>
    <w:uiPriority w:val="99"/>
    <w:rPr>
      <w:rFonts w:ascii="等线" w:hAnsi="等线"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6">
    <w:name w:val="Grid Table 3 - Accent 5"/>
    <w:qFormat/>
    <w:uiPriority w:val="99"/>
    <w:rPr>
      <w:rFonts w:ascii="等线" w:hAnsi="等线"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7">
    <w:name w:val="Grid Table 3 - Accent 6"/>
    <w:qFormat/>
    <w:uiPriority w:val="99"/>
    <w:rPr>
      <w:rFonts w:ascii="等线" w:hAnsi="等线"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8">
    <w:name w:val="网格表 41"/>
    <w:qFormat/>
    <w:uiPriority w:val="59"/>
    <w:rPr>
      <w:rFonts w:ascii="等线" w:hAnsi="等线" w:eastAsia="宋体" w:cs="Times New Roman"/>
      <w:kern w:val="0"/>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89">
    <w:name w:val="Grid Table 4 - Accent 1"/>
    <w:qFormat/>
    <w:uiPriority w:val="59"/>
    <w:rPr>
      <w:rFonts w:ascii="等线" w:hAnsi="等线"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90">
    <w:name w:val="Grid Table 4 - Accent 2"/>
    <w:qFormat/>
    <w:uiPriority w:val="59"/>
    <w:rPr>
      <w:rFonts w:ascii="等线" w:hAnsi="等线" w:eastAsia="宋体" w:cs="Times New Roman"/>
      <w:kern w:val="0"/>
      <w:sz w:val="20"/>
      <w:szCs w:val="20"/>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91">
    <w:name w:val="Grid Table 4 - Accent 3"/>
    <w:qFormat/>
    <w:uiPriority w:val="59"/>
    <w:rPr>
      <w:rFonts w:ascii="等线" w:hAnsi="等线"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92">
    <w:name w:val="Grid Table 4 - Accent 4"/>
    <w:qFormat/>
    <w:uiPriority w:val="59"/>
    <w:rPr>
      <w:rFonts w:ascii="等线" w:hAnsi="等线"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93">
    <w:name w:val="Grid Table 4 - Accent 5"/>
    <w:qFormat/>
    <w:uiPriority w:val="59"/>
    <w:rPr>
      <w:rFonts w:ascii="等线" w:hAnsi="等线"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94">
    <w:name w:val="Grid Table 4 - Accent 6"/>
    <w:uiPriority w:val="59"/>
    <w:rPr>
      <w:rFonts w:ascii="等线" w:hAnsi="等线"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95">
    <w:name w:val="网格表 5 深色1"/>
    <w:qFormat/>
    <w:uiPriority w:val="99"/>
    <w:rPr>
      <w:rFonts w:ascii="等线" w:hAnsi="等线"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6">
    <w:name w:val="Grid Table 5 Dark- Accent 1"/>
    <w:uiPriority w:val="99"/>
    <w:rPr>
      <w:rFonts w:ascii="等线" w:hAnsi="等线"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7">
    <w:name w:val="Grid Table 5 Dark - Accent 2"/>
    <w:qFormat/>
    <w:uiPriority w:val="99"/>
    <w:rPr>
      <w:rFonts w:ascii="等线" w:hAnsi="等线"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8">
    <w:name w:val="Grid Table 5 Dark - Accent 3"/>
    <w:uiPriority w:val="99"/>
    <w:rPr>
      <w:rFonts w:ascii="等线" w:hAnsi="等线"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9">
    <w:name w:val="Grid Table 5 Dark- Accent 4"/>
    <w:qFormat/>
    <w:uiPriority w:val="99"/>
    <w:rPr>
      <w:rFonts w:ascii="等线" w:hAnsi="等线"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0">
    <w:name w:val="Grid Table 5 Dark - Accent 5"/>
    <w:qFormat/>
    <w:uiPriority w:val="99"/>
    <w:rPr>
      <w:rFonts w:ascii="等线" w:hAnsi="等线"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1">
    <w:name w:val="Grid Table 5 Dark - Accent 6"/>
    <w:uiPriority w:val="99"/>
    <w:rPr>
      <w:rFonts w:ascii="等线" w:hAnsi="等线"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2">
    <w:name w:val="网格表 6 彩色1"/>
    <w:qFormat/>
    <w:uiPriority w:val="99"/>
    <w:rPr>
      <w:rFonts w:ascii="等线" w:hAnsi="等线" w:eastAsia="宋体" w:cs="Times New Roman"/>
      <w:kern w:val="0"/>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3">
    <w:name w:val="Grid Table 6 Colorful - Accent 1"/>
    <w:uiPriority w:val="99"/>
    <w:rPr>
      <w:rFonts w:ascii="等线" w:hAnsi="等线" w:eastAsia="宋体" w:cs="Times New Roman"/>
      <w:kern w:val="0"/>
      <w:sz w:val="20"/>
      <w:szCs w:val="20"/>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04">
    <w:name w:val="Grid Table 6 Colorful - Accent 2"/>
    <w:uiPriority w:val="99"/>
    <w:rPr>
      <w:rFonts w:ascii="等线" w:hAnsi="等线" w:eastAsia="宋体" w:cs="Times New Roman"/>
      <w:kern w:val="0"/>
      <w:sz w:val="20"/>
      <w:szCs w:val="20"/>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5">
    <w:name w:val="Grid Table 6 Colorful - Accent 3"/>
    <w:uiPriority w:val="99"/>
    <w:rPr>
      <w:rFonts w:ascii="等线" w:hAnsi="等线" w:eastAsia="宋体" w:cs="Times New Roman"/>
      <w:kern w:val="0"/>
      <w:sz w:val="20"/>
      <w:szCs w:val="20"/>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6">
    <w:name w:val="Grid Table 6 Colorful - Accent 4"/>
    <w:uiPriority w:val="99"/>
    <w:rPr>
      <w:rFonts w:ascii="等线" w:hAnsi="等线" w:eastAsia="宋体" w:cs="Times New Roman"/>
      <w:kern w:val="0"/>
      <w:sz w:val="20"/>
      <w:szCs w:val="20"/>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7">
    <w:name w:val="Grid Table 6 Colorful - Accent 5"/>
    <w:uiPriority w:val="99"/>
    <w:rPr>
      <w:rFonts w:ascii="等线" w:hAnsi="等线" w:eastAsia="宋体" w:cs="Times New Roman"/>
      <w:kern w:val="0"/>
      <w:sz w:val="20"/>
      <w:szCs w:val="20"/>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8">
    <w:name w:val="Grid Table 6 Colorful - Accent 6"/>
    <w:uiPriority w:val="99"/>
    <w:rPr>
      <w:rFonts w:ascii="等线" w:hAnsi="等线" w:eastAsia="宋体" w:cs="Times New Roman"/>
      <w:kern w:val="0"/>
      <w:sz w:val="20"/>
      <w:szCs w:val="20"/>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9">
    <w:name w:val="网格表 7 彩色1"/>
    <w:qFormat/>
    <w:uiPriority w:val="99"/>
    <w:rPr>
      <w:rFonts w:ascii="等线" w:hAnsi="等线" w:eastAsia="宋体" w:cs="Times New Roman"/>
      <w:kern w:val="0"/>
      <w:sz w:val="20"/>
      <w:szCs w:val="20"/>
    </w:rPr>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10">
    <w:name w:val="Grid Table 7 Colorful - Accent 1"/>
    <w:qFormat/>
    <w:uiPriority w:val="99"/>
    <w:rPr>
      <w:rFonts w:ascii="等线" w:hAnsi="等线" w:eastAsia="宋体" w:cs="Times New Roman"/>
      <w:kern w:val="0"/>
      <w:sz w:val="20"/>
      <w:szCs w:val="20"/>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1">
    <w:name w:val="Grid Table 7 Colorful - Accent 2"/>
    <w:qFormat/>
    <w:uiPriority w:val="99"/>
    <w:rPr>
      <w:rFonts w:ascii="等线" w:hAnsi="等线" w:eastAsia="宋体" w:cs="Times New Roman"/>
      <w:kern w:val="0"/>
      <w:sz w:val="20"/>
      <w:szCs w:val="20"/>
    </w:rPr>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2">
    <w:name w:val="Grid Table 7 Colorful - Accent 3"/>
    <w:uiPriority w:val="99"/>
    <w:rPr>
      <w:rFonts w:ascii="等线" w:hAnsi="等线" w:eastAsia="宋体" w:cs="Times New Roman"/>
      <w:kern w:val="0"/>
      <w:sz w:val="20"/>
      <w:szCs w:val="20"/>
    </w:rPr>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3">
    <w:name w:val="Grid Table 7 Colorful - Accent 4"/>
    <w:uiPriority w:val="99"/>
    <w:rPr>
      <w:rFonts w:ascii="等线" w:hAnsi="等线" w:eastAsia="宋体" w:cs="Times New Roman"/>
      <w:kern w:val="0"/>
      <w:sz w:val="20"/>
      <w:szCs w:val="20"/>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4">
    <w:name w:val="Grid Table 7 Colorful - Accent 5"/>
    <w:uiPriority w:val="99"/>
    <w:rPr>
      <w:rFonts w:ascii="等线" w:hAnsi="等线" w:eastAsia="宋体" w:cs="Times New Roman"/>
      <w:kern w:val="0"/>
      <w:sz w:val="20"/>
      <w:szCs w:val="20"/>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5">
    <w:name w:val="Grid Table 7 Colorful - Accent 6"/>
    <w:uiPriority w:val="99"/>
    <w:rPr>
      <w:rFonts w:ascii="等线" w:hAnsi="等线" w:eastAsia="宋体" w:cs="Times New Roman"/>
      <w:kern w:val="0"/>
      <w:sz w:val="20"/>
      <w:szCs w:val="20"/>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6">
    <w:name w:val="清单表 1 浅色1"/>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117">
    <w:name w:val="List Table 1 Light - Accent 1"/>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118">
    <w:name w:val="List Table 1 Light - Accent 2"/>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119">
    <w:name w:val="List Table 1 Light - Accent 3"/>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120">
    <w:name w:val="List Table 1 Light - Accent 4"/>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121">
    <w:name w:val="List Table 1 Light - Accent 5"/>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122">
    <w:name w:val="List Table 1 Light - Accent 6"/>
    <w:uiPriority w:val="99"/>
    <w:rPr>
      <w:rFonts w:ascii="等线" w:hAnsi="等线" w:eastAsia="宋体" w:cs="Times New Roman"/>
      <w:kern w:val="0"/>
      <w:sz w:val="20"/>
      <w:szCs w:val="20"/>
    </w:rPr>
    <w:tblPr>
      <w:tblCellMar>
        <w:top w:w="0" w:type="dxa"/>
        <w:left w:w="0" w:type="dxa"/>
        <w:bottom w:w="0" w:type="dxa"/>
        <w:right w:w="0" w:type="dxa"/>
      </w:tblCellMar>
    </w:tblPr>
  </w:style>
  <w:style w:type="table" w:customStyle="1" w:styleId="123">
    <w:name w:val="清单表 21"/>
    <w:uiPriority w:val="99"/>
    <w:rPr>
      <w:rFonts w:ascii="等线" w:hAnsi="等线" w:eastAsia="宋体" w:cs="Times New Roman"/>
      <w:kern w:val="0"/>
      <w:sz w:val="20"/>
      <w:szCs w:val="20"/>
    </w:rPr>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24">
    <w:name w:val="List Table 2 - Accent 1"/>
    <w:uiPriority w:val="99"/>
    <w:rPr>
      <w:rFonts w:ascii="等线" w:hAnsi="等线" w:eastAsia="宋体" w:cs="Times New Roman"/>
      <w:kern w:val="0"/>
      <w:sz w:val="20"/>
      <w:szCs w:val="20"/>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25">
    <w:name w:val="List Table 2 - Accent 2"/>
    <w:uiPriority w:val="99"/>
    <w:rPr>
      <w:rFonts w:ascii="等线" w:hAnsi="等线" w:eastAsia="宋体" w:cs="Times New Roman"/>
      <w:kern w:val="0"/>
      <w:sz w:val="20"/>
      <w:szCs w:val="20"/>
    </w:rPr>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26">
    <w:name w:val="List Table 2 - Accent 3"/>
    <w:uiPriority w:val="99"/>
    <w:rPr>
      <w:rFonts w:ascii="等线" w:hAnsi="等线" w:eastAsia="宋体" w:cs="Times New Roman"/>
      <w:kern w:val="0"/>
      <w:sz w:val="20"/>
      <w:szCs w:val="20"/>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27">
    <w:name w:val="List Table 2 - Accent 4"/>
    <w:uiPriority w:val="99"/>
    <w:rPr>
      <w:rFonts w:ascii="等线" w:hAnsi="等线" w:eastAsia="宋体" w:cs="Times New Roman"/>
      <w:kern w:val="0"/>
      <w:sz w:val="20"/>
      <w:szCs w:val="20"/>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28">
    <w:name w:val="List Table 2 - Accent 5"/>
    <w:uiPriority w:val="99"/>
    <w:rPr>
      <w:rFonts w:ascii="等线" w:hAnsi="等线" w:eastAsia="宋体" w:cs="Times New Roman"/>
      <w:kern w:val="0"/>
      <w:sz w:val="20"/>
      <w:szCs w:val="20"/>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29">
    <w:name w:val="List Table 2 - Accent 6"/>
    <w:uiPriority w:val="99"/>
    <w:rPr>
      <w:rFonts w:ascii="等线" w:hAnsi="等线" w:eastAsia="宋体" w:cs="Times New Roman"/>
      <w:kern w:val="0"/>
      <w:sz w:val="20"/>
      <w:szCs w:val="20"/>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30">
    <w:name w:val="清单表 31"/>
    <w:uiPriority w:val="99"/>
    <w:rPr>
      <w:rFonts w:ascii="等线" w:hAnsi="等线" w:eastAsia="宋体" w:cs="Times New Roman"/>
      <w:kern w:val="0"/>
      <w:sz w:val="20"/>
      <w:szCs w:val="20"/>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31">
    <w:name w:val="List Table 3 - Accent 1"/>
    <w:uiPriority w:val="99"/>
    <w:rPr>
      <w:rFonts w:ascii="等线" w:hAnsi="等线" w:eastAsia="宋体" w:cs="Times New Roman"/>
      <w:kern w:val="0"/>
      <w:sz w:val="20"/>
      <w:szCs w:val="20"/>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32">
    <w:name w:val="List Table 3 - Accent 2"/>
    <w:uiPriority w:val="99"/>
    <w:rPr>
      <w:rFonts w:ascii="等线" w:hAnsi="等线" w:eastAsia="宋体" w:cs="Times New Roman"/>
      <w:kern w:val="0"/>
      <w:sz w:val="20"/>
      <w:szCs w:val="20"/>
    </w:rPr>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33">
    <w:name w:val="List Table 3 - Accent 3"/>
    <w:uiPriority w:val="99"/>
    <w:rPr>
      <w:rFonts w:ascii="等线" w:hAnsi="等线" w:eastAsia="宋体" w:cs="Times New Roman"/>
      <w:kern w:val="0"/>
      <w:sz w:val="20"/>
      <w:szCs w:val="20"/>
    </w:rPr>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34">
    <w:name w:val="List Table 3 - Accent 4"/>
    <w:uiPriority w:val="99"/>
    <w:rPr>
      <w:rFonts w:ascii="等线" w:hAnsi="等线" w:eastAsia="宋体" w:cs="Times New Roman"/>
      <w:kern w:val="0"/>
      <w:sz w:val="20"/>
      <w:szCs w:val="20"/>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35">
    <w:name w:val="List Table 3 - Accent 5"/>
    <w:uiPriority w:val="99"/>
    <w:rPr>
      <w:rFonts w:ascii="等线" w:hAnsi="等线" w:eastAsia="宋体" w:cs="Times New Roman"/>
      <w:kern w:val="0"/>
      <w:sz w:val="20"/>
      <w:szCs w:val="20"/>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36">
    <w:name w:val="List Table 3 - Accent 6"/>
    <w:uiPriority w:val="99"/>
    <w:rPr>
      <w:rFonts w:ascii="等线" w:hAnsi="等线" w:eastAsia="宋体" w:cs="Times New Roman"/>
      <w:kern w:val="0"/>
      <w:sz w:val="20"/>
      <w:szCs w:val="20"/>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37">
    <w:name w:val="清单表 41"/>
    <w:uiPriority w:val="99"/>
    <w:rPr>
      <w:rFonts w:ascii="等线" w:hAnsi="等线"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38">
    <w:name w:val="List Table 4 - Accent 1"/>
    <w:uiPriority w:val="99"/>
    <w:rPr>
      <w:rFonts w:ascii="等线" w:hAnsi="等线"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39">
    <w:name w:val="List Table 4 - Accent 2"/>
    <w:uiPriority w:val="99"/>
    <w:rPr>
      <w:rFonts w:ascii="等线" w:hAnsi="等线" w:eastAsia="宋体" w:cs="Times New Roman"/>
      <w:kern w:val="0"/>
      <w:sz w:val="20"/>
      <w:szCs w:val="20"/>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40">
    <w:name w:val="List Table 4 - Accent 3"/>
    <w:uiPriority w:val="99"/>
    <w:rPr>
      <w:rFonts w:ascii="等线" w:hAnsi="等线"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41">
    <w:name w:val="List Table 4 - Accent 4"/>
    <w:uiPriority w:val="99"/>
    <w:rPr>
      <w:rFonts w:ascii="等线" w:hAnsi="等线"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42">
    <w:name w:val="List Table 4 - Accent 5"/>
    <w:uiPriority w:val="99"/>
    <w:rPr>
      <w:rFonts w:ascii="等线" w:hAnsi="等线"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43">
    <w:name w:val="List Table 4 - Accent 6"/>
    <w:uiPriority w:val="99"/>
    <w:rPr>
      <w:rFonts w:ascii="等线" w:hAnsi="等线"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44">
    <w:name w:val="清单表 5 深色1"/>
    <w:qFormat/>
    <w:uiPriority w:val="99"/>
    <w:rPr>
      <w:rFonts w:ascii="等线" w:hAnsi="等线" w:eastAsia="宋体" w:cs="Times New Roman"/>
      <w:kern w:val="0"/>
      <w:sz w:val="20"/>
      <w:szCs w:val="20"/>
    </w:rPr>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45">
    <w:name w:val="List Table 5 Dark - Accent 1"/>
    <w:qFormat/>
    <w:uiPriority w:val="99"/>
    <w:rPr>
      <w:rFonts w:ascii="等线" w:hAnsi="等线" w:eastAsia="宋体" w:cs="Times New Roman"/>
      <w:kern w:val="0"/>
      <w:sz w:val="20"/>
      <w:szCs w:val="20"/>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46">
    <w:name w:val="List Table 5 Dark - Accent 2"/>
    <w:qFormat/>
    <w:uiPriority w:val="99"/>
    <w:rPr>
      <w:rFonts w:ascii="等线" w:hAnsi="等线" w:eastAsia="宋体" w:cs="Times New Roman"/>
      <w:kern w:val="0"/>
      <w:sz w:val="20"/>
      <w:szCs w:val="20"/>
    </w:rPr>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47">
    <w:name w:val="List Table 5 Dark - Accent 3"/>
    <w:uiPriority w:val="99"/>
    <w:rPr>
      <w:rFonts w:ascii="等线" w:hAnsi="等线" w:eastAsia="宋体" w:cs="Times New Roman"/>
      <w:kern w:val="0"/>
      <w:sz w:val="20"/>
      <w:szCs w:val="20"/>
    </w:rPr>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48">
    <w:name w:val="List Table 5 Dark - Accent 4"/>
    <w:uiPriority w:val="99"/>
    <w:rPr>
      <w:rFonts w:ascii="等线" w:hAnsi="等线" w:eastAsia="宋体" w:cs="Times New Roman"/>
      <w:kern w:val="0"/>
      <w:sz w:val="20"/>
      <w:szCs w:val="20"/>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49">
    <w:name w:val="List Table 5 Dark - Accent 5"/>
    <w:uiPriority w:val="99"/>
    <w:rPr>
      <w:rFonts w:ascii="等线" w:hAnsi="等线" w:eastAsia="宋体" w:cs="Times New Roman"/>
      <w:kern w:val="0"/>
      <w:sz w:val="20"/>
      <w:szCs w:val="20"/>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50">
    <w:name w:val="List Table 5 Dark - Accent 6"/>
    <w:uiPriority w:val="99"/>
    <w:rPr>
      <w:rFonts w:ascii="等线" w:hAnsi="等线" w:eastAsia="宋体" w:cs="Times New Roman"/>
      <w:kern w:val="0"/>
      <w:sz w:val="20"/>
      <w:szCs w:val="20"/>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51">
    <w:name w:val="清单表 6 彩色1"/>
    <w:uiPriority w:val="99"/>
    <w:rPr>
      <w:rFonts w:ascii="等线" w:hAnsi="等线" w:eastAsia="宋体" w:cs="Times New Roman"/>
      <w:kern w:val="0"/>
      <w:sz w:val="20"/>
      <w:szCs w:val="20"/>
    </w:rPr>
    <w:tblPr>
      <w:tblBorders>
        <w:top w:val="single" w:color="7F7F7F" w:sz="4" w:space="0"/>
        <w:bottom w:val="single" w:color="7F7F7F" w:sz="4" w:space="0"/>
      </w:tblBorders>
      <w:tblCellMar>
        <w:top w:w="0" w:type="dxa"/>
        <w:left w:w="0" w:type="dxa"/>
        <w:bottom w:w="0" w:type="dxa"/>
        <w:right w:w="0" w:type="dxa"/>
      </w:tblCellMar>
    </w:tblPr>
  </w:style>
  <w:style w:type="table" w:customStyle="1" w:styleId="152">
    <w:name w:val="List Table 6 Colorful - Accent 1"/>
    <w:uiPriority w:val="99"/>
    <w:rPr>
      <w:rFonts w:ascii="等线" w:hAnsi="等线" w:eastAsia="宋体" w:cs="Times New Roman"/>
      <w:kern w:val="0"/>
      <w:sz w:val="20"/>
      <w:szCs w:val="20"/>
    </w:rPr>
    <w:tblPr>
      <w:tblBorders>
        <w:top w:val="single" w:color="4F81BD" w:sz="4" w:space="0"/>
        <w:bottom w:val="single" w:color="4F81BD" w:sz="4" w:space="0"/>
      </w:tblBorders>
      <w:tblCellMar>
        <w:top w:w="0" w:type="dxa"/>
        <w:left w:w="0" w:type="dxa"/>
        <w:bottom w:w="0" w:type="dxa"/>
        <w:right w:w="0" w:type="dxa"/>
      </w:tblCellMar>
    </w:tblPr>
  </w:style>
  <w:style w:type="table" w:customStyle="1" w:styleId="153">
    <w:name w:val="List Table 6 Colorful - Accent 2"/>
    <w:uiPriority w:val="99"/>
    <w:rPr>
      <w:rFonts w:ascii="等线" w:hAnsi="等线" w:eastAsia="宋体" w:cs="Times New Roman"/>
      <w:kern w:val="0"/>
      <w:sz w:val="20"/>
      <w:szCs w:val="20"/>
    </w:rPr>
    <w:tblPr>
      <w:tblBorders>
        <w:top w:val="single" w:color="D99695" w:sz="4" w:space="0"/>
        <w:bottom w:val="single" w:color="D99695" w:sz="4" w:space="0"/>
      </w:tblBorders>
      <w:tblCellMar>
        <w:top w:w="0" w:type="dxa"/>
        <w:left w:w="0" w:type="dxa"/>
        <w:bottom w:w="0" w:type="dxa"/>
        <w:right w:w="0" w:type="dxa"/>
      </w:tblCellMar>
    </w:tblPr>
  </w:style>
  <w:style w:type="table" w:customStyle="1" w:styleId="154">
    <w:name w:val="List Table 6 Colorful - Accent 3"/>
    <w:uiPriority w:val="99"/>
    <w:rPr>
      <w:rFonts w:ascii="等线" w:hAnsi="等线" w:eastAsia="宋体" w:cs="Times New Roman"/>
      <w:kern w:val="0"/>
      <w:sz w:val="20"/>
      <w:szCs w:val="20"/>
    </w:rPr>
    <w:tblPr>
      <w:tblBorders>
        <w:top w:val="single" w:color="C3D69B" w:sz="4" w:space="0"/>
        <w:bottom w:val="single" w:color="C3D69B" w:sz="4" w:space="0"/>
      </w:tblBorders>
      <w:tblCellMar>
        <w:top w:w="0" w:type="dxa"/>
        <w:left w:w="0" w:type="dxa"/>
        <w:bottom w:w="0" w:type="dxa"/>
        <w:right w:w="0" w:type="dxa"/>
      </w:tblCellMar>
    </w:tblPr>
  </w:style>
  <w:style w:type="table" w:customStyle="1" w:styleId="155">
    <w:name w:val="List Table 6 Colorful - Accent 4"/>
    <w:uiPriority w:val="99"/>
    <w:rPr>
      <w:rFonts w:ascii="等线" w:hAnsi="等线" w:eastAsia="宋体" w:cs="Times New Roman"/>
      <w:kern w:val="0"/>
      <w:sz w:val="20"/>
      <w:szCs w:val="20"/>
    </w:rPr>
    <w:tblPr>
      <w:tblBorders>
        <w:top w:val="single" w:color="B2A1C6" w:sz="4" w:space="0"/>
        <w:bottom w:val="single" w:color="B2A1C6" w:sz="4" w:space="0"/>
      </w:tblBorders>
      <w:tblCellMar>
        <w:top w:w="0" w:type="dxa"/>
        <w:left w:w="0" w:type="dxa"/>
        <w:bottom w:w="0" w:type="dxa"/>
        <w:right w:w="0" w:type="dxa"/>
      </w:tblCellMar>
    </w:tblPr>
  </w:style>
  <w:style w:type="table" w:customStyle="1" w:styleId="156">
    <w:name w:val="List Table 6 Colorful - Accent 5"/>
    <w:uiPriority w:val="99"/>
    <w:rPr>
      <w:rFonts w:ascii="等线" w:hAnsi="等线" w:eastAsia="宋体" w:cs="Times New Roman"/>
      <w:kern w:val="0"/>
      <w:sz w:val="20"/>
      <w:szCs w:val="20"/>
    </w:rPr>
    <w:tblPr>
      <w:tblBorders>
        <w:top w:val="single" w:color="92CCDC" w:sz="4" w:space="0"/>
        <w:bottom w:val="single" w:color="92CCDC" w:sz="4" w:space="0"/>
      </w:tblBorders>
      <w:tblCellMar>
        <w:top w:w="0" w:type="dxa"/>
        <w:left w:w="0" w:type="dxa"/>
        <w:bottom w:w="0" w:type="dxa"/>
        <w:right w:w="0" w:type="dxa"/>
      </w:tblCellMar>
    </w:tblPr>
  </w:style>
  <w:style w:type="table" w:customStyle="1" w:styleId="157">
    <w:name w:val="List Table 6 Colorful - Accent 6"/>
    <w:uiPriority w:val="99"/>
    <w:rPr>
      <w:rFonts w:ascii="等线" w:hAnsi="等线" w:eastAsia="宋体" w:cs="Times New Roman"/>
      <w:kern w:val="0"/>
      <w:sz w:val="20"/>
      <w:szCs w:val="20"/>
    </w:rPr>
    <w:tblPr>
      <w:tblBorders>
        <w:top w:val="single" w:color="FAC090" w:sz="4" w:space="0"/>
        <w:bottom w:val="single" w:color="FAC090" w:sz="4" w:space="0"/>
      </w:tblBorders>
      <w:tblCellMar>
        <w:top w:w="0" w:type="dxa"/>
        <w:left w:w="0" w:type="dxa"/>
        <w:bottom w:w="0" w:type="dxa"/>
        <w:right w:w="0" w:type="dxa"/>
      </w:tblCellMar>
    </w:tblPr>
  </w:style>
  <w:style w:type="table" w:customStyle="1" w:styleId="158">
    <w:name w:val="清单表 7 彩色1"/>
    <w:uiPriority w:val="99"/>
    <w:rPr>
      <w:rFonts w:ascii="等线" w:hAnsi="等线" w:eastAsia="宋体" w:cs="Times New Roman"/>
      <w:kern w:val="0"/>
      <w:sz w:val="20"/>
      <w:szCs w:val="20"/>
    </w:rPr>
    <w:tblPr>
      <w:tblBorders>
        <w:right w:val="single" w:color="7F7F7F" w:sz="4" w:space="0"/>
      </w:tblBorders>
      <w:tblCellMar>
        <w:top w:w="0" w:type="dxa"/>
        <w:left w:w="0" w:type="dxa"/>
        <w:bottom w:w="0" w:type="dxa"/>
        <w:right w:w="0" w:type="dxa"/>
      </w:tblCellMar>
    </w:tblPr>
  </w:style>
  <w:style w:type="table" w:customStyle="1" w:styleId="159">
    <w:name w:val="List Table 7 Colorful - Accent 1"/>
    <w:uiPriority w:val="99"/>
    <w:rPr>
      <w:rFonts w:ascii="等线" w:hAnsi="等线" w:eastAsia="宋体" w:cs="Times New Roman"/>
      <w:kern w:val="0"/>
      <w:sz w:val="20"/>
      <w:szCs w:val="20"/>
    </w:rPr>
    <w:tblPr>
      <w:tblBorders>
        <w:right w:val="single" w:color="4F81BD" w:sz="4" w:space="0"/>
      </w:tblBorders>
      <w:tblCellMar>
        <w:top w:w="0" w:type="dxa"/>
        <w:left w:w="0" w:type="dxa"/>
        <w:bottom w:w="0" w:type="dxa"/>
        <w:right w:w="0" w:type="dxa"/>
      </w:tblCellMar>
    </w:tblPr>
  </w:style>
  <w:style w:type="table" w:customStyle="1" w:styleId="160">
    <w:name w:val="List Table 7 Colorful - Accent 2"/>
    <w:uiPriority w:val="99"/>
    <w:rPr>
      <w:rFonts w:ascii="等线" w:hAnsi="等线" w:eastAsia="宋体" w:cs="Times New Roman"/>
      <w:kern w:val="0"/>
      <w:sz w:val="20"/>
      <w:szCs w:val="20"/>
    </w:rPr>
    <w:tblPr>
      <w:tblBorders>
        <w:right w:val="single" w:color="D99695" w:sz="4" w:space="0"/>
      </w:tblBorders>
      <w:tblCellMar>
        <w:top w:w="0" w:type="dxa"/>
        <w:left w:w="0" w:type="dxa"/>
        <w:bottom w:w="0" w:type="dxa"/>
        <w:right w:w="0" w:type="dxa"/>
      </w:tblCellMar>
    </w:tblPr>
  </w:style>
  <w:style w:type="table" w:customStyle="1" w:styleId="161">
    <w:name w:val="List Table 7 Colorful - Accent 3"/>
    <w:qFormat/>
    <w:uiPriority w:val="99"/>
    <w:rPr>
      <w:rFonts w:ascii="等线" w:hAnsi="等线" w:eastAsia="宋体" w:cs="Times New Roman"/>
      <w:kern w:val="0"/>
      <w:sz w:val="20"/>
      <w:szCs w:val="20"/>
    </w:rPr>
    <w:tblPr>
      <w:tblBorders>
        <w:right w:val="single" w:color="C3D69B" w:sz="4" w:space="0"/>
      </w:tblBorders>
      <w:tblCellMar>
        <w:top w:w="0" w:type="dxa"/>
        <w:left w:w="0" w:type="dxa"/>
        <w:bottom w:w="0" w:type="dxa"/>
        <w:right w:w="0" w:type="dxa"/>
      </w:tblCellMar>
    </w:tblPr>
  </w:style>
  <w:style w:type="table" w:customStyle="1" w:styleId="162">
    <w:name w:val="List Table 7 Colorful - Accent 4"/>
    <w:qFormat/>
    <w:uiPriority w:val="99"/>
    <w:rPr>
      <w:rFonts w:ascii="等线" w:hAnsi="等线" w:eastAsia="宋体" w:cs="Times New Roman"/>
      <w:kern w:val="0"/>
      <w:sz w:val="20"/>
      <w:szCs w:val="20"/>
    </w:rPr>
    <w:tblPr>
      <w:tblBorders>
        <w:right w:val="single" w:color="B2A1C6" w:sz="4" w:space="0"/>
      </w:tblBorders>
      <w:tblCellMar>
        <w:top w:w="0" w:type="dxa"/>
        <w:left w:w="0" w:type="dxa"/>
        <w:bottom w:w="0" w:type="dxa"/>
        <w:right w:w="0" w:type="dxa"/>
      </w:tblCellMar>
    </w:tblPr>
  </w:style>
  <w:style w:type="table" w:customStyle="1" w:styleId="163">
    <w:name w:val="List Table 7 Colorful - Accent 5"/>
    <w:qFormat/>
    <w:uiPriority w:val="99"/>
    <w:rPr>
      <w:rFonts w:ascii="等线" w:hAnsi="等线" w:eastAsia="宋体" w:cs="Times New Roman"/>
      <w:kern w:val="0"/>
      <w:sz w:val="20"/>
      <w:szCs w:val="20"/>
    </w:rPr>
    <w:tblPr>
      <w:tblBorders>
        <w:right w:val="single" w:color="92CCDC" w:sz="4" w:space="0"/>
      </w:tblBorders>
      <w:tblCellMar>
        <w:top w:w="0" w:type="dxa"/>
        <w:left w:w="0" w:type="dxa"/>
        <w:bottom w:w="0" w:type="dxa"/>
        <w:right w:w="0" w:type="dxa"/>
      </w:tblCellMar>
    </w:tblPr>
  </w:style>
  <w:style w:type="table" w:customStyle="1" w:styleId="164">
    <w:name w:val="List Table 7 Colorful - Accent 6"/>
    <w:uiPriority w:val="99"/>
    <w:rPr>
      <w:rFonts w:ascii="等线" w:hAnsi="等线" w:eastAsia="宋体" w:cs="Times New Roman"/>
      <w:kern w:val="0"/>
      <w:sz w:val="20"/>
      <w:szCs w:val="20"/>
    </w:rPr>
    <w:tblPr>
      <w:tblBorders>
        <w:right w:val="single" w:color="FAC090" w:sz="4" w:space="0"/>
      </w:tblBorders>
      <w:tblCellMar>
        <w:top w:w="0" w:type="dxa"/>
        <w:left w:w="0" w:type="dxa"/>
        <w:bottom w:w="0" w:type="dxa"/>
        <w:right w:w="0" w:type="dxa"/>
      </w:tblCellMar>
    </w:tblPr>
  </w:style>
  <w:style w:type="table" w:customStyle="1" w:styleId="165">
    <w:name w:val="Lined - Accent"/>
    <w:qFormat/>
    <w:uiPriority w:val="99"/>
    <w:rPr>
      <w:rFonts w:ascii="等线" w:hAnsi="等线" w:eastAsia="宋体" w:cs="Times New Roman"/>
      <w:color w:val="404040"/>
      <w:kern w:val="0"/>
      <w:sz w:val="20"/>
      <w:szCs w:val="20"/>
    </w:rPr>
    <w:tblPr>
      <w:tblCellMar>
        <w:top w:w="0" w:type="dxa"/>
        <w:left w:w="0" w:type="dxa"/>
        <w:bottom w:w="0" w:type="dxa"/>
        <w:right w:w="0" w:type="dxa"/>
      </w:tblCellMar>
    </w:tblPr>
  </w:style>
  <w:style w:type="table" w:customStyle="1" w:styleId="166">
    <w:name w:val="Lined - Accent 1"/>
    <w:uiPriority w:val="99"/>
    <w:rPr>
      <w:rFonts w:ascii="等线" w:hAnsi="等线" w:eastAsia="宋体" w:cs="Times New Roman"/>
      <w:color w:val="404040"/>
      <w:kern w:val="0"/>
      <w:sz w:val="20"/>
      <w:szCs w:val="20"/>
    </w:rPr>
    <w:tblPr>
      <w:tblCellMar>
        <w:top w:w="0" w:type="dxa"/>
        <w:left w:w="0" w:type="dxa"/>
        <w:bottom w:w="0" w:type="dxa"/>
        <w:right w:w="0" w:type="dxa"/>
      </w:tblCellMar>
    </w:tblPr>
  </w:style>
  <w:style w:type="table" w:customStyle="1" w:styleId="167">
    <w:name w:val="Lined - Accent 2"/>
    <w:uiPriority w:val="99"/>
    <w:rPr>
      <w:rFonts w:ascii="等线" w:hAnsi="等线" w:eastAsia="宋体" w:cs="Times New Roman"/>
      <w:color w:val="404040"/>
      <w:kern w:val="0"/>
      <w:sz w:val="20"/>
      <w:szCs w:val="20"/>
    </w:rPr>
    <w:tblPr>
      <w:tblCellMar>
        <w:top w:w="0" w:type="dxa"/>
        <w:left w:w="0" w:type="dxa"/>
        <w:bottom w:w="0" w:type="dxa"/>
        <w:right w:w="0" w:type="dxa"/>
      </w:tblCellMar>
    </w:tblPr>
  </w:style>
  <w:style w:type="table" w:customStyle="1" w:styleId="168">
    <w:name w:val="Lined - Accent 3"/>
    <w:uiPriority w:val="99"/>
    <w:rPr>
      <w:rFonts w:ascii="等线" w:hAnsi="等线" w:eastAsia="宋体" w:cs="Times New Roman"/>
      <w:color w:val="404040"/>
      <w:kern w:val="0"/>
      <w:sz w:val="20"/>
      <w:szCs w:val="20"/>
    </w:rPr>
    <w:tblPr>
      <w:tblCellMar>
        <w:top w:w="0" w:type="dxa"/>
        <w:left w:w="0" w:type="dxa"/>
        <w:bottom w:w="0" w:type="dxa"/>
        <w:right w:w="0" w:type="dxa"/>
      </w:tblCellMar>
    </w:tblPr>
  </w:style>
  <w:style w:type="table" w:customStyle="1" w:styleId="169">
    <w:name w:val="Lined - Accent 4"/>
    <w:uiPriority w:val="99"/>
    <w:rPr>
      <w:rFonts w:ascii="等线" w:hAnsi="等线" w:eastAsia="宋体" w:cs="Times New Roman"/>
      <w:color w:val="404040"/>
      <w:kern w:val="0"/>
      <w:sz w:val="20"/>
      <w:szCs w:val="20"/>
    </w:rPr>
    <w:tblPr>
      <w:tblCellMar>
        <w:top w:w="0" w:type="dxa"/>
        <w:left w:w="0" w:type="dxa"/>
        <w:bottom w:w="0" w:type="dxa"/>
        <w:right w:w="0" w:type="dxa"/>
      </w:tblCellMar>
    </w:tblPr>
  </w:style>
  <w:style w:type="table" w:customStyle="1" w:styleId="170">
    <w:name w:val="Lined - Accent 5"/>
    <w:uiPriority w:val="99"/>
    <w:rPr>
      <w:rFonts w:ascii="等线" w:hAnsi="等线" w:eastAsia="宋体" w:cs="Times New Roman"/>
      <w:color w:val="404040"/>
      <w:kern w:val="0"/>
      <w:sz w:val="20"/>
      <w:szCs w:val="20"/>
    </w:rPr>
    <w:tblPr>
      <w:tblCellMar>
        <w:top w:w="0" w:type="dxa"/>
        <w:left w:w="0" w:type="dxa"/>
        <w:bottom w:w="0" w:type="dxa"/>
        <w:right w:w="0" w:type="dxa"/>
      </w:tblCellMar>
    </w:tblPr>
  </w:style>
  <w:style w:type="table" w:customStyle="1" w:styleId="171">
    <w:name w:val="Lined - Accent 6"/>
    <w:uiPriority w:val="99"/>
    <w:rPr>
      <w:rFonts w:ascii="等线" w:hAnsi="等线" w:eastAsia="宋体" w:cs="Times New Roman"/>
      <w:color w:val="404040"/>
      <w:kern w:val="0"/>
      <w:sz w:val="20"/>
      <w:szCs w:val="20"/>
    </w:rPr>
    <w:tblPr>
      <w:tblCellMar>
        <w:top w:w="0" w:type="dxa"/>
        <w:left w:w="0" w:type="dxa"/>
        <w:bottom w:w="0" w:type="dxa"/>
        <w:right w:w="0" w:type="dxa"/>
      </w:tblCellMar>
    </w:tblPr>
  </w:style>
  <w:style w:type="table" w:customStyle="1" w:styleId="172">
    <w:name w:val="Bordered &amp; Lined - Accent"/>
    <w:uiPriority w:val="99"/>
    <w:rPr>
      <w:rFonts w:ascii="等线" w:hAnsi="等线" w:eastAsia="宋体" w:cs="Times New Roman"/>
      <w:color w:val="404040"/>
      <w:kern w:val="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73">
    <w:name w:val="Bordered &amp; Lined - Accent 1"/>
    <w:qFormat/>
    <w:uiPriority w:val="99"/>
    <w:rPr>
      <w:rFonts w:ascii="等线" w:hAnsi="等线" w:eastAsia="宋体" w:cs="Times New Roman"/>
      <w:color w:val="404040"/>
      <w:kern w:val="0"/>
      <w:sz w:val="20"/>
      <w:szCs w:val="2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74">
    <w:name w:val="Bordered &amp; Lined - Accent 2"/>
    <w:uiPriority w:val="99"/>
    <w:rPr>
      <w:rFonts w:ascii="等线" w:hAnsi="等线" w:eastAsia="宋体" w:cs="Times New Roman"/>
      <w:color w:val="404040"/>
      <w:kern w:val="0"/>
      <w:sz w:val="20"/>
      <w:szCs w:val="2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75">
    <w:name w:val="Bordered &amp; Lined - Accent 3"/>
    <w:uiPriority w:val="99"/>
    <w:rPr>
      <w:rFonts w:ascii="等线" w:hAnsi="等线" w:eastAsia="宋体" w:cs="Times New Roman"/>
      <w:color w:val="404040"/>
      <w:kern w:val="0"/>
      <w:sz w:val="20"/>
      <w:szCs w:val="2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76">
    <w:name w:val="Bordered &amp; Lined - Accent 4"/>
    <w:uiPriority w:val="99"/>
    <w:rPr>
      <w:rFonts w:ascii="等线" w:hAnsi="等线" w:eastAsia="宋体" w:cs="Times New Roman"/>
      <w:color w:val="404040"/>
      <w:kern w:val="0"/>
      <w:sz w:val="20"/>
      <w:szCs w:val="2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77">
    <w:name w:val="Bordered &amp; Lined - Accent 5"/>
    <w:qFormat/>
    <w:uiPriority w:val="99"/>
    <w:rPr>
      <w:rFonts w:ascii="等线" w:hAnsi="等线" w:eastAsia="宋体" w:cs="Times New Roman"/>
      <w:color w:val="404040"/>
      <w:kern w:val="0"/>
      <w:sz w:val="20"/>
      <w:szCs w:val="2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78">
    <w:name w:val="Bordered &amp; Lined - Accent 6"/>
    <w:uiPriority w:val="99"/>
    <w:rPr>
      <w:rFonts w:ascii="等线" w:hAnsi="等线" w:eastAsia="宋体" w:cs="Times New Roman"/>
      <w:color w:val="404040"/>
      <w:kern w:val="0"/>
      <w:sz w:val="20"/>
      <w:szCs w:val="2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79">
    <w:name w:val="Bordered"/>
    <w:uiPriority w:val="99"/>
    <w:rPr>
      <w:rFonts w:ascii="等线" w:hAnsi="等线" w:eastAsia="宋体" w:cs="Times New Roman"/>
      <w:kern w:val="0"/>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80">
    <w:name w:val="Bordered - Accent 1"/>
    <w:uiPriority w:val="99"/>
    <w:rPr>
      <w:rFonts w:ascii="等线" w:hAnsi="等线" w:eastAsia="宋体" w:cs="Times New Roman"/>
      <w:kern w:val="0"/>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81">
    <w:name w:val="Bordered - Accent 2"/>
    <w:uiPriority w:val="99"/>
    <w:rPr>
      <w:rFonts w:ascii="等线" w:hAnsi="等线" w:eastAsia="宋体" w:cs="Times New Roman"/>
      <w:kern w:val="0"/>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82">
    <w:name w:val="Bordered - Accent 3"/>
    <w:uiPriority w:val="99"/>
    <w:rPr>
      <w:rFonts w:ascii="等线" w:hAnsi="等线"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83">
    <w:name w:val="Bordered - Accent 4"/>
    <w:qFormat/>
    <w:uiPriority w:val="99"/>
    <w:rPr>
      <w:rFonts w:ascii="等线" w:hAnsi="等线"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84">
    <w:name w:val="Bordered - Accent 5"/>
    <w:uiPriority w:val="99"/>
    <w:rPr>
      <w:rFonts w:ascii="等线" w:hAnsi="等线" w:eastAsia="宋体" w:cs="Times New Roman"/>
      <w:kern w:val="0"/>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85">
    <w:name w:val="Bordered - Accent 6"/>
    <w:qFormat/>
    <w:uiPriority w:val="99"/>
    <w:rPr>
      <w:rFonts w:ascii="等线" w:hAnsi="等线"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paragraph" w:customStyle="1" w:styleId="186">
    <w:name w:val="TOC 标题1"/>
    <w:unhideWhenUsed/>
    <w:qFormat/>
    <w:uiPriority w:val="39"/>
    <w:rPr>
      <w:rFonts w:ascii="等线" w:hAnsi="等线" w:eastAsia="宋体" w:cs="Times New Roman"/>
      <w:kern w:val="0"/>
      <w:sz w:val="20"/>
      <w:szCs w:val="20"/>
      <w:lang w:val="en-US" w:eastAsia="zh-CN" w:bidi="ar-SA"/>
    </w:rPr>
  </w:style>
  <w:style w:type="paragraph" w:customStyle="1" w:styleId="187">
    <w:name w:val="p15"/>
    <w:basedOn w:val="1"/>
    <w:qFormat/>
    <w:uiPriority w:val="0"/>
    <w:pPr>
      <w:widowControl/>
    </w:pPr>
    <w:rPr>
      <w:rFonts w:ascii="宋体" w:hAnsi="宋体" w:cs="宋体"/>
      <w:kern w:val="0"/>
      <w:szCs w:val="21"/>
    </w:rPr>
  </w:style>
  <w:style w:type="paragraph" w:customStyle="1" w:styleId="188">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正文缩进1"/>
    <w:basedOn w:val="1"/>
    <w:qFormat/>
    <w:uiPriority w:val="0"/>
    <w:pPr>
      <w:ind w:firstLine="420" w:firstLineChars="200"/>
    </w:pPr>
  </w:style>
  <w:style w:type="paragraph" w:customStyle="1" w:styleId="190">
    <w:name w:val="合同一级标题"/>
    <w:basedOn w:val="3"/>
    <w:next w:val="3"/>
    <w:qFormat/>
    <w:uiPriority w:val="0"/>
    <w:pPr>
      <w:spacing w:before="0" w:after="0"/>
      <w:jc w:val="center"/>
    </w:pPr>
    <w:rPr>
      <w:rFonts w:ascii="黑体" w:hAnsi="黑体" w:eastAsia="黑体" w:cs="Times New Roman"/>
      <w:bCs/>
      <w:color w:val="auto"/>
      <w:kern w:val="0"/>
      <w:sz w:val="36"/>
      <w:szCs w:val="44"/>
    </w:rPr>
  </w:style>
  <w:style w:type="paragraph" w:customStyle="1" w:styleId="191">
    <w:name w:val="标题3-个人"/>
    <w:basedOn w:val="5"/>
    <w:qFormat/>
    <w:uiPriority w:val="0"/>
    <w:pPr>
      <w:spacing w:before="0" w:after="0" w:line="360" w:lineRule="auto"/>
      <w:ind w:right="238"/>
    </w:pPr>
    <w:rPr>
      <w:rFonts w:ascii="等线" w:hAnsi="等线" w:eastAsia="宋体" w:cs="Times New Roman"/>
      <w:b/>
      <w:bCs/>
      <w:color w:val="auto"/>
    </w:rPr>
  </w:style>
  <w:style w:type="paragraph" w:customStyle="1" w:styleId="192">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93">
    <w:name w:val="正文 New New New"/>
    <w:qFormat/>
    <w:uiPriority w:val="0"/>
    <w:pPr>
      <w:widowControl w:val="0"/>
      <w:jc w:val="both"/>
    </w:pPr>
    <w:rPr>
      <w:rFonts w:hint="eastAsia" w:ascii="Times New Roman" w:hAnsi="Times New Roman" w:eastAsia="宋体" w:cs="Times New Roman"/>
      <w:kern w:val="2"/>
      <w:sz w:val="30"/>
      <w:szCs w:val="20"/>
      <w:lang w:val="en-US" w:eastAsia="zh-CN" w:bidi="ar-SA"/>
    </w:rPr>
  </w:style>
  <w:style w:type="paragraph" w:customStyle="1" w:styleId="194">
    <w:name w:val="合同三级标题"/>
    <w:basedOn w:val="5"/>
    <w:qFormat/>
    <w:uiPriority w:val="0"/>
    <w:pPr>
      <w:tabs>
        <w:tab w:val="left" w:pos="284"/>
      </w:tabs>
      <w:autoSpaceDE w:val="0"/>
      <w:autoSpaceDN w:val="0"/>
      <w:adjustRightInd w:val="0"/>
      <w:spacing w:before="0" w:after="0"/>
      <w:jc w:val="left"/>
    </w:pPr>
    <w:rPr>
      <w:rFonts w:ascii="等线" w:hAnsi="等线" w:eastAsia="黑体" w:cs="Times New Roman"/>
      <w:bCs/>
      <w:color w:val="auto"/>
      <w:kern w:val="0"/>
      <w:position w:val="-1"/>
      <w:sz w:val="24"/>
      <w:szCs w:val="30"/>
    </w:rPr>
  </w:style>
  <w:style w:type="paragraph" w:customStyle="1" w:styleId="195">
    <w:name w:val="纯文本1"/>
    <w:basedOn w:val="1"/>
    <w:qFormat/>
    <w:uiPriority w:val="0"/>
    <w:rPr>
      <w:rFonts w:ascii="宋体" w:hAnsi="Courier New"/>
      <w:szCs w:val="20"/>
    </w:rPr>
  </w:style>
  <w:style w:type="paragraph" w:customStyle="1" w:styleId="196">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7">
    <w:name w:val="正文 New New New New New New New New New New New New New New New New New New New New New New New New New New New"/>
    <w:qFormat/>
    <w:uiPriority w:val="0"/>
    <w:pPr>
      <w:widowControl w:val="0"/>
      <w:jc w:val="both"/>
    </w:pPr>
    <w:rPr>
      <w:rFonts w:ascii="Times New Roman" w:hAnsi="Times New Roman" w:eastAsia="方正楷体_GB2312" w:cs="Times New Roman"/>
      <w:kern w:val="2"/>
      <w:sz w:val="21"/>
      <w:szCs w:val="20"/>
      <w:lang w:val="en-US" w:eastAsia="zh-CN" w:bidi="ar-SA"/>
    </w:rPr>
  </w:style>
  <w:style w:type="paragraph" w:customStyle="1" w:styleId="198">
    <w:name w:val="正文1"/>
    <w:qFormat/>
    <w:uiPriority w:val="0"/>
    <w:rPr>
      <w:rFonts w:ascii="Calibri" w:hAnsi="Calibri" w:eastAsia="宋体" w:cs="Times New Roman"/>
      <w:kern w:val="0"/>
      <w:sz w:val="24"/>
      <w:szCs w:val="24"/>
      <w:lang w:val="en-US" w:eastAsia="en-US" w:bidi="ar-SA"/>
    </w:rPr>
  </w:style>
  <w:style w:type="character" w:customStyle="1" w:styleId="199">
    <w:name w:val="纯文本 字符"/>
    <w:basedOn w:val="32"/>
    <w:semiHidden/>
    <w:uiPriority w:val="99"/>
    <w:rPr>
      <w:rFonts w:hAnsi="Courier New" w:cs="Courier New" w:asciiTheme="minorEastAsia"/>
    </w:rPr>
  </w:style>
  <w:style w:type="character" w:customStyle="1" w:styleId="200">
    <w:name w:val="纯文本 字符1"/>
    <w:link w:val="16"/>
    <w:qFormat/>
    <w:uiPriority w:val="0"/>
    <w:rPr>
      <w:rFonts w:ascii="宋体" w:hAnsi="Courier New" w:eastAsia="宋体" w:cs="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18535</Words>
  <Characters>19260</Characters>
  <Lines>216</Lines>
  <Paragraphs>60</Paragraphs>
  <TotalTime>0</TotalTime>
  <ScaleCrop>false</ScaleCrop>
  <LinksUpToDate>false</LinksUpToDate>
  <CharactersWithSpaces>20886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2026-01-22T10:15:00Z</dcterms:created>
  <dc:creator>Administrator</dc:creator>
  <cp:lastModifiedBy>…KING</cp:lastModifiedBy>
  <dcterms:modified xsi:type="dcterms:W3CDTF">2026-01-23T11:16:15Z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eyJoZGlkIjoiODllOTIyNTNjMWU5MGRhZWM3MTg5MmQ2MWE5OTczMzkiLCJ1c2VySWQiOiIzMTk1NjY3MzMifQ==</vt:lpwstr>
  </property>
  <property fmtid="{D5CDD505-2E9C-101B-9397-08002B2CF9AE}" pid="3" name="KSOProductBuildVer">
    <vt:lpwstr>2052-12.1.0.24657</vt:lpwstr>
  </property>
  <property fmtid="{D5CDD505-2E9C-101B-9397-08002B2CF9AE}" pid="4" name="ICV">
    <vt:lpwstr>B1F2ECD78AAC4C4C91241CF11E350049_12</vt:lpwstr>
  </property>
</Properties>
</file>