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29"/>
        </w:tabs>
        <w:spacing w:line="540" w:lineRule="exact"/>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pacing w:val="-12"/>
          <w:w w:val="102"/>
          <w:sz w:val="44"/>
          <w:szCs w:val="44"/>
          <w:highlight w:val="none"/>
          <w:lang w:eastAsia="zh-CN"/>
        </w:rPr>
        <w:t>评</w:t>
      </w:r>
      <w:r>
        <w:rPr>
          <w:rFonts w:hint="eastAsia" w:ascii="宋体" w:hAnsi="宋体" w:eastAsia="宋体" w:cs="宋体"/>
          <w:color w:val="auto"/>
          <w:w w:val="102"/>
          <w:sz w:val="44"/>
          <w:szCs w:val="44"/>
          <w:highlight w:val="none"/>
          <w:lang w:eastAsia="zh-CN"/>
        </w:rPr>
        <w:t>标</w:t>
      </w:r>
      <w:r>
        <w:rPr>
          <w:rFonts w:hint="eastAsia" w:ascii="宋体" w:hAnsi="宋体" w:eastAsia="宋体" w:cs="宋体"/>
          <w:color w:val="auto"/>
          <w:spacing w:val="-5"/>
          <w:w w:val="102"/>
          <w:sz w:val="44"/>
          <w:szCs w:val="44"/>
          <w:highlight w:val="none"/>
          <w:lang w:eastAsia="zh-CN"/>
        </w:rPr>
        <w:t>办</w:t>
      </w:r>
      <w:r>
        <w:rPr>
          <w:rFonts w:hint="eastAsia" w:ascii="宋体" w:hAnsi="宋体" w:eastAsia="宋体" w:cs="宋体"/>
          <w:color w:val="auto"/>
          <w:w w:val="97"/>
          <w:sz w:val="44"/>
          <w:szCs w:val="44"/>
          <w:highlight w:val="none"/>
          <w:lang w:eastAsia="zh-CN"/>
        </w:rPr>
        <w:t>法</w:t>
      </w:r>
      <w:r>
        <w:rPr>
          <w:rFonts w:hint="eastAsia" w:ascii="宋体" w:hAnsi="宋体" w:eastAsia="宋体" w:cs="宋体"/>
          <w:color w:val="auto"/>
          <w:spacing w:val="-5"/>
          <w:w w:val="102"/>
          <w:sz w:val="44"/>
          <w:szCs w:val="44"/>
          <w:highlight w:val="none"/>
          <w:lang w:eastAsia="zh-CN"/>
        </w:rPr>
        <w:t>（综合评估法）</w:t>
      </w:r>
    </w:p>
    <w:p>
      <w:pPr>
        <w:jc w:val="center"/>
        <w:rPr>
          <w:rFonts w:hint="eastAsia" w:ascii="宋体" w:hAnsi="宋体" w:eastAsia="宋体" w:cs="宋体"/>
          <w:color w:val="auto"/>
          <w:sz w:val="13"/>
          <w:szCs w:val="14"/>
          <w:highlight w:val="none"/>
          <w:lang w:eastAsia="zh-CN"/>
        </w:rPr>
      </w:pPr>
      <w:r>
        <w:rPr>
          <w:rFonts w:hint="eastAsia" w:ascii="宋体" w:hAnsi="宋体" w:eastAsia="宋体" w:cs="宋体"/>
          <w:b/>
          <w:bCs/>
          <w:color w:val="auto"/>
          <w:sz w:val="24"/>
          <w:szCs w:val="28"/>
          <w:highlight w:val="none"/>
        </w:rPr>
        <w:t>评标办法前附表</w:t>
      </w:r>
    </w:p>
    <w:tbl>
      <w:tblPr>
        <w:tblStyle w:val="4"/>
        <w:tblW w:w="0" w:type="auto"/>
        <w:tblInd w:w="102" w:type="dxa"/>
        <w:tblLayout w:type="fixed"/>
        <w:tblCellMar>
          <w:top w:w="0" w:type="dxa"/>
          <w:left w:w="0" w:type="dxa"/>
          <w:bottom w:w="0" w:type="dxa"/>
          <w:right w:w="0" w:type="dxa"/>
        </w:tblCellMar>
      </w:tblPr>
      <w:tblGrid>
        <w:gridCol w:w="732"/>
        <w:gridCol w:w="1262"/>
        <w:gridCol w:w="6904"/>
      </w:tblGrid>
      <w:tr>
        <w:tblPrEx>
          <w:tblCellMar>
            <w:top w:w="0" w:type="dxa"/>
            <w:left w:w="0" w:type="dxa"/>
            <w:bottom w:w="0" w:type="dxa"/>
            <w:right w:w="0" w:type="dxa"/>
          </w:tblCellMar>
        </w:tblPrEx>
        <w:trPr>
          <w:trHeight w:val="372" w:hRule="exact"/>
        </w:trPr>
        <w:tc>
          <w:tcPr>
            <w:tcW w:w="1994" w:type="dxa"/>
            <w:gridSpan w:val="2"/>
            <w:tcBorders>
              <w:top w:val="single" w:color="000000" w:sz="4" w:space="0"/>
              <w:left w:val="single" w:color="000000" w:sz="4" w:space="0"/>
              <w:bottom w:val="single" w:color="000000" w:sz="4" w:space="0"/>
              <w:right w:val="single" w:color="000000" w:sz="4" w:space="0"/>
            </w:tcBorders>
            <w:noWrap w:val="0"/>
            <w:vAlign w:val="top"/>
          </w:tcPr>
          <w:p>
            <w:pPr>
              <w:pStyle w:val="6"/>
              <w:spacing w:before="54"/>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条款号</w:t>
            </w:r>
          </w:p>
        </w:tc>
        <w:tc>
          <w:tcPr>
            <w:tcW w:w="6904"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54"/>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评审因素与评审标准</w:t>
            </w:r>
          </w:p>
        </w:tc>
      </w:tr>
      <w:tr>
        <w:tblPrEx>
          <w:tblCellMar>
            <w:top w:w="0" w:type="dxa"/>
            <w:left w:w="0" w:type="dxa"/>
            <w:bottom w:w="0" w:type="dxa"/>
            <w:right w:w="0" w:type="dxa"/>
          </w:tblCellMar>
        </w:tblPrEx>
        <w:trPr>
          <w:trHeight w:val="308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6904"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54" w:line="314" w:lineRule="auto"/>
              <w:ind w:firstLine="420"/>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综合评分相等时，评标委员会依次按照以下优先顺序推荐中标候选人或确定中标人：</w:t>
            </w:r>
          </w:p>
          <w:p>
            <w:pPr>
              <w:pStyle w:val="6"/>
              <w:spacing w:before="54" w:line="314" w:lineRule="auto"/>
              <w:ind w:firstLine="420"/>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（1）评标价低的投标人优先；</w:t>
            </w:r>
          </w:p>
          <w:p>
            <w:pPr>
              <w:pStyle w:val="6"/>
              <w:spacing w:before="54" w:line="314" w:lineRule="auto"/>
              <w:ind w:firstLine="420"/>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2）按招标文件规定被认定为广东省信用等级较高的投标人优先（采用如下的有限顺序：承诺使用的AA级投标人、不承诺使用的AA级投标人、承诺使用的A级投标人、不承诺使用的A级投标人、B级投标人、未参评且被确定为B级投标人）；</w:t>
            </w:r>
          </w:p>
          <w:p>
            <w:pPr>
              <w:pStyle w:val="6"/>
              <w:spacing w:before="54" w:line="314" w:lineRule="auto"/>
              <w:ind w:firstLine="420"/>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（3）商务和技术得分较高的投标人优先；</w:t>
            </w:r>
          </w:p>
          <w:p>
            <w:pPr>
              <w:pStyle w:val="6"/>
              <w:spacing w:before="34" w:line="360" w:lineRule="auto"/>
              <w:ind w:firstLine="408"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eastAsia="zh-CN"/>
              </w:rPr>
              <w:t>（4）由评标委员会投票确定。</w:t>
            </w:r>
          </w:p>
        </w:tc>
      </w:tr>
      <w:tr>
        <w:tblPrEx>
          <w:tblCellMar>
            <w:top w:w="0" w:type="dxa"/>
            <w:left w:w="0" w:type="dxa"/>
            <w:bottom w:w="0" w:type="dxa"/>
            <w:right w:w="0" w:type="dxa"/>
          </w:tblCellMar>
        </w:tblPrEx>
        <w:trPr>
          <w:trHeight w:val="9545" w:hRule="exac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2.1.1</w:t>
            </w:r>
          </w:p>
          <w:p>
            <w:pPr>
              <w:pStyle w:val="6"/>
              <w:spacing w:before="118"/>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2.1.3</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形式评审与响应性评审标准</w:t>
            </w:r>
          </w:p>
        </w:tc>
        <w:tc>
          <w:tcPr>
            <w:tcW w:w="6904"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92"/>
              <w:ind w:left="527"/>
              <w:rPr>
                <w:rFonts w:hint="eastAsia" w:ascii="宋体" w:hAnsi="宋体" w:eastAsia="宋体" w:cs="宋体"/>
                <w:b/>
                <w:color w:val="auto"/>
                <w:kern w:val="2"/>
                <w:sz w:val="21"/>
                <w:highlight w:val="none"/>
                <w:lang w:eastAsia="zh-CN"/>
              </w:rPr>
            </w:pPr>
            <w:r>
              <w:rPr>
                <w:rFonts w:hint="eastAsia" w:ascii="宋体" w:hAnsi="宋体" w:eastAsia="宋体" w:cs="宋体"/>
                <w:b/>
                <w:color w:val="auto"/>
                <w:kern w:val="2"/>
                <w:sz w:val="21"/>
                <w:highlight w:val="none"/>
                <w:lang w:eastAsia="zh-CN"/>
              </w:rPr>
              <w:t>第一个信封（商务文件）评审标准：</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（1）投标文件按照招标文件规定的格式、内容填写，字迹清晰可辨。</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a.投标函按招标文件规定填报了项目名称、补遗书编号（如有）、监理服务期限、工程质量要求及安全目标；</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b.投标文件组成齐全完整，内容均按规定填写。</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（2）投标文件上法定代表人或其委托代理人的签字、投标人的单位章盖章齐全，符合招标文件规定。</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（3）投标人按照招标文件的规定提供了投标保证金。</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 投标保证金金额符合招标文件规定的金额，且投标保证金有效期不少于投标有效期；</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 若投标保证金采用现金或支票形式提交，投标人应在招标文件规定的投标保证金递交截止时间之前，将投标保证金由投标人的基本账户转入招标人指定账户；</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 若投标保证金采用银行保函形式提交，银行保函的格式、开具保函的银行均满足招标文件要求，且在递交投标文件截止时间之前向招标人提交了银行保函原件。</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（4）投标人法定代表人授权委托代理人签署投标文件的，须提交授权委托书，且授权人和被授权人均在授权委托书上签名，未使用印章、签名章或其他电子制版签名代替。</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（5）投标人法定代表人亲自签署投标文件的，提供了法定代表人身份证明，且法定代表人在法定代表人身份证明上签名，未使用印章、签名章或其他电子制版签名代替。</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（6）同一投标人未提交两个以上不同的投标文件，但招标文件要求提交备选投标的除外。</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（7）投标文件中未出现有关投标报价的内容。</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（8）投标文件载明的招标项目完成期限未超过招标文件规定的时限。</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（9）投标文件对招标文件的实质性要求和条件作出响应。</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（10）权利义务符合招标文件规定。</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a.投标人应接受招标文件规定的风险划分原则，未提出新的风险划分办法；</w:t>
            </w:r>
          </w:p>
        </w:tc>
      </w:tr>
    </w:tbl>
    <w:p>
      <w:pPr>
        <w:wordWrap w:val="0"/>
        <w:jc w:val="right"/>
        <w:rPr>
          <w:rFonts w:hint="eastAsia" w:ascii="宋体" w:hAnsi="宋体" w:eastAsia="宋体" w:cs="宋体"/>
          <w:color w:val="auto"/>
          <w:sz w:val="20"/>
          <w:szCs w:val="20"/>
          <w:highlight w:val="none"/>
          <w:lang w:eastAsia="zh-CN"/>
        </w:rPr>
      </w:pPr>
      <w:r>
        <w:rPr>
          <w:rFonts w:hint="eastAsia" w:ascii="宋体" w:hAnsi="宋体" w:eastAsia="宋体" w:cs="宋体"/>
          <w:color w:val="auto"/>
          <w:highlight w:val="none"/>
          <w:lang w:eastAsia="zh-CN"/>
        </w:rPr>
        <w:br w:type="page"/>
      </w:r>
      <w:r>
        <w:rPr>
          <w:rFonts w:hint="eastAsia" w:ascii="宋体" w:hAnsi="宋体" w:eastAsia="宋体" w:cs="宋体"/>
          <w:color w:val="auto"/>
          <w:highlight w:val="none"/>
        </w:rPr>
        <w:t>续上表</w:t>
      </w:r>
      <w:r>
        <w:rPr>
          <w:rFonts w:hint="eastAsia" w:ascii="宋体" w:hAnsi="宋体" w:eastAsia="宋体" w:cs="宋体"/>
          <w:color w:val="auto"/>
          <w:highlight w:val="none"/>
          <w:lang w:eastAsia="zh-CN"/>
        </w:rPr>
        <w:t xml:space="preserve">   </w:t>
      </w:r>
    </w:p>
    <w:tbl>
      <w:tblPr>
        <w:tblStyle w:val="4"/>
        <w:tblW w:w="0" w:type="auto"/>
        <w:tblInd w:w="105" w:type="dxa"/>
        <w:tblLayout w:type="fixed"/>
        <w:tblCellMar>
          <w:top w:w="0" w:type="dxa"/>
          <w:left w:w="0" w:type="dxa"/>
          <w:bottom w:w="0" w:type="dxa"/>
          <w:right w:w="0" w:type="dxa"/>
        </w:tblCellMar>
      </w:tblPr>
      <w:tblGrid>
        <w:gridCol w:w="989"/>
        <w:gridCol w:w="1279"/>
        <w:gridCol w:w="6624"/>
      </w:tblGrid>
      <w:tr>
        <w:tblPrEx>
          <w:tblCellMar>
            <w:top w:w="0" w:type="dxa"/>
            <w:left w:w="0" w:type="dxa"/>
            <w:bottom w:w="0" w:type="dxa"/>
            <w:right w:w="0" w:type="dxa"/>
          </w:tblCellMar>
        </w:tblPrEx>
        <w:trPr>
          <w:trHeight w:val="5374" w:hRule="atLeast"/>
        </w:trPr>
        <w:tc>
          <w:tcPr>
            <w:tcW w:w="989" w:type="dxa"/>
            <w:tcBorders>
              <w:top w:val="single" w:color="000000" w:sz="4" w:space="0"/>
              <w:left w:val="single" w:color="000000" w:sz="4" w:space="0"/>
              <w:bottom w:val="nil"/>
              <w:right w:val="single" w:color="000000" w:sz="4" w:space="0"/>
            </w:tcBorders>
            <w:noWrap w:val="0"/>
            <w:vAlign w:val="center"/>
          </w:tcPr>
          <w:p>
            <w:pPr>
              <w:pStyle w:val="6"/>
              <w:jc w:val="center"/>
              <w:rPr>
                <w:rFonts w:hint="eastAsia" w:ascii="宋体" w:hAnsi="宋体" w:eastAsia="宋体" w:cs="宋体"/>
                <w:color w:val="auto"/>
                <w:sz w:val="20"/>
                <w:highlight w:val="none"/>
                <w:lang w:eastAsia="zh-CN"/>
              </w:rPr>
            </w:pPr>
          </w:p>
        </w:tc>
        <w:tc>
          <w:tcPr>
            <w:tcW w:w="1279" w:type="dxa"/>
            <w:tcBorders>
              <w:top w:val="single" w:color="000000" w:sz="4" w:space="0"/>
              <w:left w:val="single" w:color="000000" w:sz="4" w:space="0"/>
              <w:bottom w:val="nil"/>
              <w:right w:val="single" w:color="000000" w:sz="4" w:space="0"/>
            </w:tcBorders>
            <w:noWrap w:val="0"/>
            <w:vAlign w:val="center"/>
          </w:tcPr>
          <w:p>
            <w:pPr>
              <w:pStyle w:val="6"/>
              <w:jc w:val="center"/>
              <w:rPr>
                <w:rFonts w:hint="eastAsia" w:ascii="宋体" w:hAnsi="宋体" w:eastAsia="宋体" w:cs="宋体"/>
                <w:color w:val="auto"/>
                <w:sz w:val="20"/>
                <w:szCs w:val="20"/>
                <w:highlight w:val="none"/>
                <w:lang w:eastAsia="zh-CN"/>
              </w:rPr>
            </w:pPr>
          </w:p>
        </w:tc>
        <w:tc>
          <w:tcPr>
            <w:tcW w:w="6624" w:type="dxa"/>
            <w:tcBorders>
              <w:top w:val="single" w:color="000000" w:sz="4" w:space="0"/>
              <w:left w:val="single" w:color="000000" w:sz="4" w:space="0"/>
              <w:bottom w:val="nil"/>
              <w:right w:val="single" w:color="000000" w:sz="4" w:space="0"/>
            </w:tcBorders>
            <w:noWrap w:val="0"/>
            <w:vAlign w:val="top"/>
          </w:tcPr>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b.投标人未增加发包人的责任范围，或减少投标人义务；</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c.投标人未提出不同的支付办法； </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d.投标人对合同纠纷、事故处理办法未提出异议；</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e.投标人在投标活动中无欺诈行为；</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f.投标人未对合同条款有重要保留。</w:t>
            </w:r>
          </w:p>
          <w:p>
            <w:pPr>
              <w:ind w:firstLine="422" w:firstLineChars="20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第二个信封（报价文件）评审标准：</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（1）投标文件按照招标文件规定的格式、内容填写，字迹清晰可辨，内容齐全完整：</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a.投标函按招标文件规定填报了项目名称、补遗书编号（如有）、投标价（包括大写金额和小写金额）；</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b.已标价报价清单说明文字与招标文件规定一致，未进行实质性修改和删减；</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c.投标文件组成齐全完整，内容均按规定填写。</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（2）投标文件上法定代表人或其委托代理人的签字、投标人的单位章盖章齐全，符合招标文件规定。</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（3）投标报价未超过招标文件设定的最高投标限价。</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（4）投标报价的大写金额能够确定具体数值。</w:t>
            </w:r>
          </w:p>
          <w:p>
            <w:pPr>
              <w:spacing w:line="276"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（5）同一投标人未提交两个以上不同的投标报价，但招标文件要求提交备选投标的除外。</w:t>
            </w:r>
          </w:p>
        </w:tc>
      </w:tr>
      <w:tr>
        <w:tblPrEx>
          <w:tblCellMar>
            <w:top w:w="0" w:type="dxa"/>
            <w:left w:w="0" w:type="dxa"/>
            <w:bottom w:w="0" w:type="dxa"/>
            <w:right w:w="0" w:type="dxa"/>
          </w:tblCellMar>
        </w:tblPrEx>
        <w:trPr>
          <w:trHeight w:val="3542" w:hRule="atLeast"/>
        </w:trPr>
        <w:tc>
          <w:tcPr>
            <w:tcW w:w="989" w:type="dxa"/>
            <w:vMerge w:val="restart"/>
            <w:tcBorders>
              <w:top w:val="single" w:color="000000" w:sz="4" w:space="0"/>
              <w:left w:val="single" w:color="000000" w:sz="4" w:space="0"/>
              <w:bottom w:val="nil"/>
              <w:right w:val="single" w:color="000000" w:sz="4" w:space="0"/>
            </w:tcBorders>
            <w:noWrap w:val="0"/>
            <w:vAlign w:val="center"/>
          </w:tcPr>
          <w:p>
            <w:pPr>
              <w:pStyle w:val="6"/>
              <w:jc w:val="center"/>
              <w:rPr>
                <w:rFonts w:hint="eastAsia" w:ascii="宋体" w:hAnsi="宋体" w:eastAsia="宋体" w:cs="宋体"/>
                <w:color w:val="auto"/>
                <w:sz w:val="20"/>
                <w:highlight w:val="none"/>
                <w:lang w:eastAsia="zh-CN"/>
              </w:rPr>
            </w:pPr>
            <w:r>
              <w:rPr>
                <w:rFonts w:hint="eastAsia" w:ascii="宋体" w:hAnsi="宋体" w:eastAsia="宋体" w:cs="宋体"/>
                <w:color w:val="auto"/>
                <w:sz w:val="21"/>
                <w:szCs w:val="24"/>
                <w:highlight w:val="none"/>
              </w:rPr>
              <w:t>2.1.2</w:t>
            </w:r>
          </w:p>
        </w:tc>
        <w:tc>
          <w:tcPr>
            <w:tcW w:w="1279" w:type="dxa"/>
            <w:vMerge w:val="restart"/>
            <w:tcBorders>
              <w:top w:val="single" w:color="000000" w:sz="4" w:space="0"/>
              <w:left w:val="single" w:color="000000" w:sz="4" w:space="0"/>
              <w:bottom w:val="nil"/>
              <w:right w:val="single" w:color="000000" w:sz="4" w:space="0"/>
            </w:tcBorders>
            <w:noWrap w:val="0"/>
            <w:vAlign w:val="center"/>
          </w:tcPr>
          <w:p>
            <w:pPr>
              <w:pStyle w:val="6"/>
              <w:jc w:val="center"/>
              <w:rPr>
                <w:rFonts w:hint="eastAsia" w:ascii="宋体" w:hAnsi="宋体" w:eastAsia="宋体" w:cs="宋体"/>
                <w:color w:val="auto"/>
                <w:sz w:val="20"/>
                <w:highlight w:val="none"/>
                <w:lang w:eastAsia="zh-CN"/>
              </w:rPr>
            </w:pPr>
            <w:r>
              <w:rPr>
                <w:rFonts w:hint="eastAsia" w:ascii="宋体" w:hAnsi="宋体" w:eastAsia="宋体" w:cs="宋体"/>
                <w:color w:val="auto"/>
                <w:sz w:val="21"/>
                <w:szCs w:val="21"/>
                <w:highlight w:val="none"/>
              </w:rPr>
              <w:t>资格评审标 准</w:t>
            </w:r>
          </w:p>
        </w:tc>
        <w:tc>
          <w:tcPr>
            <w:tcW w:w="6624" w:type="dxa"/>
            <w:tcBorders>
              <w:top w:val="single" w:color="000000" w:sz="4" w:space="0"/>
              <w:left w:val="single" w:color="000000" w:sz="4" w:space="0"/>
              <w:bottom w:val="nil"/>
              <w:right w:val="single" w:color="000000" w:sz="4" w:space="0"/>
            </w:tcBorders>
            <w:noWrap w:val="0"/>
            <w:vAlign w:val="center"/>
          </w:tcPr>
          <w:p>
            <w:pPr>
              <w:pStyle w:val="6"/>
              <w:spacing w:before="11"/>
              <w:ind w:right="44" w:rightChars="2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投标人具备有效的营业执照、组织机构代码证、监理资质证书和基本账户开户许可证，投标人已录入交通运输部“全国公路建设市场信用信息管理系统（http：//glxy.mot.gov.cn）”中的公路工程施工监理资质企业名录，且投标人名称和资质与该名录中的相应企业名称和资质完全一致。</w:t>
            </w:r>
          </w:p>
          <w:p>
            <w:pPr>
              <w:pStyle w:val="6"/>
              <w:spacing w:before="11"/>
              <w:ind w:right="44"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（2）投标人的资质等级符合招标文件规定。</w:t>
            </w:r>
          </w:p>
          <w:p>
            <w:pPr>
              <w:pStyle w:val="6"/>
              <w:spacing w:before="11"/>
              <w:ind w:right="44" w:rightChars="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（3）投标人的类似项目业绩符合招标文件规定。</w:t>
            </w:r>
          </w:p>
          <w:p>
            <w:pPr>
              <w:pStyle w:val="6"/>
              <w:spacing w:before="11"/>
              <w:ind w:right="44" w:rightChars="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（4）投标人的信誉符合招标文件规定。</w:t>
            </w:r>
          </w:p>
          <w:p>
            <w:pPr>
              <w:pStyle w:val="6"/>
              <w:spacing w:before="11"/>
              <w:ind w:right="44" w:rightChars="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（5）投标人的总监理工程师（含备选）资格、在岗情况符合招标文件规定。</w:t>
            </w:r>
          </w:p>
          <w:p>
            <w:pPr>
              <w:pStyle w:val="6"/>
              <w:spacing w:before="11"/>
              <w:ind w:right="44" w:rightChars="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（6）投标人的其他要求符合招标文件规定。</w:t>
            </w:r>
          </w:p>
          <w:p>
            <w:pPr>
              <w:pStyle w:val="6"/>
              <w:spacing w:before="11"/>
              <w:ind w:right="44" w:rightChars="2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（7）投标人不存在第二章“投标人须知”第 1.4.3 项或第 1.4.4 项规定的任何一种情形。</w:t>
            </w:r>
          </w:p>
          <w:p>
            <w:pPr>
              <w:pStyle w:val="6"/>
              <w:numPr>
                <w:ilvl w:val="0"/>
                <w:numId w:val="0"/>
              </w:numPr>
              <w:tabs>
                <w:tab w:val="left" w:pos="1054"/>
              </w:tabs>
              <w:autoSpaceDE w:val="0"/>
              <w:autoSpaceDN w:val="0"/>
              <w:spacing w:before="4" w:line="276" w:lineRule="auto"/>
              <w:ind w:left="524" w:firstLine="0"/>
              <w:rPr>
                <w:rFonts w:hint="eastAsia" w:ascii="宋体" w:hAnsi="宋体" w:eastAsia="宋体" w:cs="宋体"/>
                <w:color w:val="auto"/>
                <w:kern w:val="2"/>
                <w:sz w:val="11"/>
                <w:highlight w:val="none"/>
                <w:lang w:eastAsia="zh-CN"/>
              </w:rPr>
            </w:pPr>
            <w:r>
              <w:rPr>
                <w:rFonts w:hint="eastAsia" w:ascii="宋体" w:hAnsi="宋体" w:eastAsia="宋体" w:cs="宋体"/>
                <w:color w:val="auto"/>
                <w:sz w:val="21"/>
                <w:szCs w:val="21"/>
                <w:highlight w:val="none"/>
                <w:lang w:eastAsia="zh-CN"/>
              </w:rPr>
              <w:t>（8）投标人符合第二章“投标人须知”第 1.4.5 项规定。</w:t>
            </w:r>
          </w:p>
        </w:tc>
      </w:tr>
      <w:tr>
        <w:tblPrEx>
          <w:tblCellMar>
            <w:top w:w="0" w:type="dxa"/>
            <w:left w:w="0" w:type="dxa"/>
            <w:bottom w:w="0" w:type="dxa"/>
            <w:right w:w="0" w:type="dxa"/>
          </w:tblCellMar>
        </w:tblPrEx>
        <w:trPr>
          <w:trHeight w:val="87" w:hRule="exact"/>
        </w:trPr>
        <w:tc>
          <w:tcPr>
            <w:tcW w:w="989"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highlight w:val="none"/>
                <w:lang w:eastAsia="zh-CN"/>
              </w:rPr>
            </w:pPr>
          </w:p>
        </w:tc>
        <w:tc>
          <w:tcPr>
            <w:tcW w:w="1279" w:type="dxa"/>
            <w:vMerge w:val="continue"/>
            <w:tcBorders>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highlight w:val="none"/>
                <w:lang w:eastAsia="zh-CN"/>
              </w:rPr>
            </w:pPr>
          </w:p>
        </w:tc>
        <w:tc>
          <w:tcPr>
            <w:tcW w:w="6624" w:type="dxa"/>
            <w:tcBorders>
              <w:top w:val="nil"/>
              <w:left w:val="single" w:color="000000" w:sz="4" w:space="0"/>
              <w:bottom w:val="single" w:color="000000" w:sz="4" w:space="0"/>
              <w:right w:val="single" w:color="000000" w:sz="4" w:space="0"/>
            </w:tcBorders>
            <w:noWrap w:val="0"/>
            <w:vAlign w:val="top"/>
          </w:tcPr>
          <w:p>
            <w:pPr>
              <w:pStyle w:val="6"/>
              <w:spacing w:before="65"/>
              <w:rPr>
                <w:rFonts w:hint="eastAsia" w:ascii="宋体" w:hAnsi="宋体" w:eastAsia="宋体" w:cs="宋体"/>
                <w:color w:val="auto"/>
                <w:sz w:val="14"/>
                <w:szCs w:val="14"/>
                <w:highlight w:val="none"/>
                <w:lang w:eastAsia="zh-CN"/>
              </w:rPr>
            </w:pPr>
          </w:p>
        </w:tc>
      </w:tr>
    </w:tbl>
    <w:p>
      <w:pPr>
        <w:spacing w:before="7"/>
        <w:rPr>
          <w:rFonts w:hint="eastAsia" w:ascii="宋体" w:hAnsi="宋体" w:eastAsia="宋体" w:cs="宋体"/>
          <w:color w:val="auto"/>
          <w:sz w:val="2"/>
          <w:szCs w:val="2"/>
          <w:highlight w:val="none"/>
          <w:lang w:eastAsia="zh-CN"/>
        </w:rPr>
      </w:pPr>
    </w:p>
    <w:p>
      <w:pPr>
        <w:rPr>
          <w:rFonts w:hint="eastAsia" w:ascii="宋体" w:hAnsi="宋体" w:eastAsia="宋体" w:cs="宋体"/>
          <w:color w:val="auto"/>
          <w:sz w:val="28"/>
          <w:szCs w:val="28"/>
          <w:highlight w:val="none"/>
          <w:lang w:eastAsia="zh-CN"/>
        </w:rPr>
        <w:sectPr>
          <w:footerReference r:id="rId3" w:type="default"/>
          <w:pgSz w:w="11910" w:h="16840"/>
          <w:pgMar w:top="1140" w:right="1320" w:bottom="1260" w:left="1420" w:header="889" w:footer="1065" w:gutter="0"/>
          <w:cols w:space="720" w:num="1"/>
          <w:rtlGutter w:val="1"/>
        </w:sectPr>
      </w:pPr>
    </w:p>
    <w:tbl>
      <w:tblPr>
        <w:tblStyle w:val="4"/>
        <w:tblW w:w="0" w:type="auto"/>
        <w:tblInd w:w="106" w:type="dxa"/>
        <w:tblLayout w:type="fixed"/>
        <w:tblCellMar>
          <w:top w:w="0" w:type="dxa"/>
          <w:left w:w="0" w:type="dxa"/>
          <w:bottom w:w="0" w:type="dxa"/>
          <w:right w:w="0" w:type="dxa"/>
        </w:tblCellMar>
      </w:tblPr>
      <w:tblGrid>
        <w:gridCol w:w="989"/>
        <w:gridCol w:w="1279"/>
        <w:gridCol w:w="6625"/>
      </w:tblGrid>
      <w:tr>
        <w:tblPrEx>
          <w:tblCellMar>
            <w:top w:w="0" w:type="dxa"/>
            <w:left w:w="0" w:type="dxa"/>
            <w:bottom w:w="0" w:type="dxa"/>
            <w:right w:w="0" w:type="dxa"/>
          </w:tblCellMar>
        </w:tblPrEx>
        <w:trPr>
          <w:trHeight w:val="389" w:hRule="exact"/>
        </w:trPr>
        <w:tc>
          <w:tcPr>
            <w:tcW w:w="989"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74"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条款号</w:t>
            </w:r>
          </w:p>
        </w:tc>
        <w:tc>
          <w:tcPr>
            <w:tcW w:w="1279"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74" w:line="360" w:lineRule="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条款内容</w:t>
            </w:r>
          </w:p>
        </w:tc>
        <w:tc>
          <w:tcPr>
            <w:tcW w:w="6625"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74"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编列内容</w:t>
            </w:r>
          </w:p>
        </w:tc>
      </w:tr>
      <w:tr>
        <w:tblPrEx>
          <w:tblCellMar>
            <w:top w:w="0" w:type="dxa"/>
            <w:left w:w="0" w:type="dxa"/>
            <w:bottom w:w="0" w:type="dxa"/>
            <w:right w:w="0" w:type="dxa"/>
          </w:tblCellMar>
        </w:tblPrEx>
        <w:trPr>
          <w:trHeight w:val="2602" w:hRule="exac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pStyle w:val="6"/>
              <w:spacing w:before="173"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2.2.1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pStyle w:val="6"/>
              <w:spacing w:before="154" w:line="360" w:lineRule="auto"/>
              <w:jc w:val="center"/>
              <w:rPr>
                <w:rFonts w:hint="eastAsia" w:ascii="宋体" w:hAnsi="宋体" w:eastAsia="宋体" w:cs="宋体"/>
                <w:color w:val="auto"/>
                <w:sz w:val="11"/>
                <w:szCs w:val="11"/>
                <w:highlight w:val="none"/>
                <w:lang w:eastAsia="zh-CN"/>
              </w:rPr>
            </w:pPr>
            <w:r>
              <w:rPr>
                <w:rFonts w:hint="eastAsia" w:ascii="宋体" w:hAnsi="宋体" w:eastAsia="宋体" w:cs="宋体"/>
                <w:color w:val="auto"/>
                <w:sz w:val="21"/>
                <w:szCs w:val="21"/>
                <w:highlight w:val="none"/>
                <w:lang w:eastAsia="zh-CN"/>
              </w:rPr>
              <w:t>分值构成</w:t>
            </w:r>
          </w:p>
          <w:p>
            <w:pPr>
              <w:pStyle w:val="6"/>
              <w:spacing w:before="104"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（总分</w:t>
            </w:r>
            <w:r>
              <w:rPr>
                <w:rFonts w:hint="eastAsia" w:ascii="宋体" w:hAnsi="宋体" w:eastAsia="宋体" w:cs="宋体"/>
                <w:color w:val="auto"/>
                <w:spacing w:val="-51"/>
                <w:sz w:val="21"/>
                <w:szCs w:val="21"/>
                <w:highlight w:val="none"/>
                <w:lang w:eastAsia="zh-CN"/>
              </w:rPr>
              <w:t xml:space="preserve"> </w:t>
            </w:r>
            <w:r>
              <w:rPr>
                <w:rFonts w:hint="eastAsia" w:ascii="宋体" w:hAnsi="宋体" w:eastAsia="宋体" w:cs="宋体"/>
                <w:color w:val="auto"/>
                <w:sz w:val="21"/>
                <w:szCs w:val="21"/>
                <w:highlight w:val="none"/>
                <w:lang w:eastAsia="zh-CN"/>
              </w:rPr>
              <w:t>100</w:t>
            </w:r>
          </w:p>
          <w:p>
            <w:pPr>
              <w:pStyle w:val="6"/>
              <w:spacing w:before="88"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w:t>
            </w:r>
          </w:p>
        </w:tc>
        <w:tc>
          <w:tcPr>
            <w:tcW w:w="6625" w:type="dxa"/>
            <w:tcBorders>
              <w:top w:val="single" w:color="000000" w:sz="4" w:space="0"/>
              <w:left w:val="single" w:color="000000" w:sz="4" w:space="0"/>
              <w:bottom w:val="single" w:color="000000" w:sz="4" w:space="0"/>
              <w:right w:val="single" w:color="000000" w:sz="4" w:space="0"/>
            </w:tcBorders>
            <w:noWrap w:val="0"/>
            <w:vAlign w:val="top"/>
          </w:tcPr>
          <w:p>
            <w:pPr>
              <w:pStyle w:val="6"/>
              <w:tabs>
                <w:tab w:val="left" w:pos="2418"/>
              </w:tabs>
              <w:spacing w:before="68" w:line="302" w:lineRule="auto"/>
              <w:ind w:right="1438"/>
              <w:rPr>
                <w:rFonts w:hint="eastAsia" w:ascii="宋体" w:hAnsi="宋体" w:eastAsia="宋体" w:cs="宋体"/>
                <w:b/>
                <w:color w:val="auto"/>
                <w:spacing w:val="-12"/>
                <w:kern w:val="2"/>
                <w:sz w:val="21"/>
                <w:highlight w:val="none"/>
                <w:lang w:eastAsia="zh-CN"/>
              </w:rPr>
            </w:pPr>
            <w:r>
              <w:rPr>
                <w:rFonts w:hint="eastAsia" w:ascii="宋体" w:hAnsi="宋体" w:eastAsia="宋体" w:cs="宋体"/>
                <w:b/>
                <w:color w:val="auto"/>
                <w:kern w:val="2"/>
                <w:sz w:val="21"/>
                <w:highlight w:val="none"/>
                <w:lang w:eastAsia="zh-CN"/>
              </w:rPr>
              <w:t>第一个信封（商务</w:t>
            </w:r>
            <w:r>
              <w:rPr>
                <w:rFonts w:hint="eastAsia" w:ascii="宋体" w:hAnsi="宋体" w:eastAsia="宋体" w:cs="宋体"/>
                <w:b/>
                <w:color w:val="auto"/>
                <w:spacing w:val="-3"/>
                <w:kern w:val="2"/>
                <w:sz w:val="21"/>
                <w:highlight w:val="none"/>
                <w:lang w:eastAsia="zh-CN"/>
              </w:rPr>
              <w:t>及</w:t>
            </w:r>
            <w:r>
              <w:rPr>
                <w:rFonts w:hint="eastAsia" w:ascii="宋体" w:hAnsi="宋体" w:eastAsia="宋体" w:cs="宋体"/>
                <w:b/>
                <w:color w:val="auto"/>
                <w:kern w:val="2"/>
                <w:sz w:val="21"/>
                <w:highlight w:val="none"/>
                <w:lang w:eastAsia="zh-CN"/>
              </w:rPr>
              <w:t>技术建议书）评分分值构</w:t>
            </w:r>
            <w:r>
              <w:rPr>
                <w:rFonts w:hint="eastAsia" w:ascii="宋体" w:hAnsi="宋体" w:eastAsia="宋体" w:cs="宋体"/>
                <w:b/>
                <w:color w:val="auto"/>
                <w:spacing w:val="-3"/>
                <w:kern w:val="2"/>
                <w:sz w:val="21"/>
                <w:highlight w:val="none"/>
                <w:lang w:eastAsia="zh-CN"/>
              </w:rPr>
              <w:t>成</w:t>
            </w:r>
            <w:r>
              <w:rPr>
                <w:rFonts w:hint="eastAsia" w:ascii="宋体" w:hAnsi="宋体" w:eastAsia="宋体" w:cs="宋体"/>
                <w:b/>
                <w:color w:val="auto"/>
                <w:spacing w:val="-12"/>
                <w:kern w:val="2"/>
                <w:sz w:val="21"/>
                <w:highlight w:val="none"/>
                <w:lang w:eastAsia="zh-CN"/>
              </w:rPr>
              <w:t>：</w:t>
            </w:r>
          </w:p>
          <w:p>
            <w:pPr>
              <w:pStyle w:val="6"/>
              <w:tabs>
                <w:tab w:val="left" w:pos="2418"/>
              </w:tabs>
              <w:spacing w:before="68" w:line="302" w:lineRule="auto"/>
              <w:ind w:right="1438"/>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技术</w:t>
            </w:r>
            <w:r>
              <w:rPr>
                <w:rFonts w:hint="eastAsia" w:ascii="宋体" w:hAnsi="宋体" w:eastAsia="宋体" w:cs="宋体"/>
                <w:color w:val="auto"/>
                <w:spacing w:val="-3"/>
                <w:kern w:val="2"/>
                <w:sz w:val="21"/>
                <w:highlight w:val="none"/>
                <w:lang w:eastAsia="zh-CN"/>
              </w:rPr>
              <w:t>建</w:t>
            </w:r>
            <w:r>
              <w:rPr>
                <w:rFonts w:hint="eastAsia" w:ascii="宋体" w:hAnsi="宋体" w:eastAsia="宋体" w:cs="宋体"/>
                <w:color w:val="auto"/>
                <w:kern w:val="2"/>
                <w:sz w:val="21"/>
                <w:highlight w:val="none"/>
                <w:lang w:eastAsia="zh-CN"/>
              </w:rPr>
              <w:t>议</w:t>
            </w:r>
            <w:r>
              <w:rPr>
                <w:rFonts w:hint="eastAsia" w:ascii="宋体" w:hAnsi="宋体" w:eastAsia="宋体" w:cs="宋体"/>
                <w:color w:val="auto"/>
                <w:spacing w:val="-3"/>
                <w:kern w:val="2"/>
                <w:sz w:val="21"/>
                <w:highlight w:val="none"/>
                <w:lang w:eastAsia="zh-CN"/>
              </w:rPr>
              <w:t>书</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u w:val="single"/>
                <w:lang w:eastAsia="zh-CN"/>
              </w:rPr>
              <w:t>25</w:t>
            </w:r>
            <w:r>
              <w:rPr>
                <w:rFonts w:hint="eastAsia" w:ascii="宋体" w:hAnsi="宋体" w:eastAsia="宋体" w:cs="宋体"/>
                <w:color w:val="auto"/>
                <w:kern w:val="2"/>
                <w:sz w:val="21"/>
                <w:highlight w:val="none"/>
                <w:lang w:eastAsia="zh-CN"/>
              </w:rPr>
              <w:t>分</w:t>
            </w:r>
          </w:p>
          <w:p>
            <w:pPr>
              <w:pStyle w:val="6"/>
              <w:tabs>
                <w:tab w:val="left" w:pos="2209"/>
              </w:tabs>
              <w:spacing w:before="1"/>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主要人员</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spacing w:val="-3"/>
                <w:kern w:val="2"/>
                <w:sz w:val="21"/>
                <w:highlight w:val="none"/>
                <w:u w:val="single"/>
                <w:lang w:eastAsia="zh-CN"/>
              </w:rPr>
              <w:t>25</w:t>
            </w:r>
            <w:r>
              <w:rPr>
                <w:rFonts w:hint="eastAsia" w:ascii="宋体" w:hAnsi="宋体" w:eastAsia="宋体" w:cs="宋体"/>
                <w:color w:val="auto"/>
                <w:kern w:val="2"/>
                <w:sz w:val="21"/>
                <w:highlight w:val="none"/>
                <w:lang w:eastAsia="zh-CN"/>
              </w:rPr>
              <w:t>分</w:t>
            </w:r>
          </w:p>
          <w:p>
            <w:pPr>
              <w:pStyle w:val="6"/>
              <w:tabs>
                <w:tab w:val="left" w:pos="1789"/>
                <w:tab w:val="left" w:pos="2320"/>
              </w:tabs>
              <w:spacing w:before="1" w:line="340" w:lineRule="atLeast"/>
              <w:ind w:right="3973"/>
              <w:rPr>
                <w:rFonts w:hint="eastAsia" w:ascii="宋体" w:hAnsi="宋体" w:eastAsia="宋体" w:cs="宋体"/>
                <w:color w:val="auto"/>
                <w:spacing w:val="-18"/>
                <w:kern w:val="2"/>
                <w:sz w:val="21"/>
                <w:highlight w:val="none"/>
                <w:lang w:eastAsia="zh-CN"/>
              </w:rPr>
            </w:pPr>
            <w:r>
              <w:rPr>
                <w:rFonts w:hint="eastAsia" w:ascii="宋体" w:hAnsi="宋体" w:eastAsia="宋体" w:cs="宋体"/>
                <w:color w:val="auto"/>
                <w:kern w:val="2"/>
                <w:sz w:val="21"/>
                <w:highlight w:val="none"/>
                <w:lang w:eastAsia="zh-CN"/>
              </w:rPr>
              <w:t>技术</w:t>
            </w:r>
            <w:r>
              <w:rPr>
                <w:rFonts w:hint="eastAsia" w:ascii="宋体" w:hAnsi="宋体" w:eastAsia="宋体" w:cs="宋体"/>
                <w:color w:val="auto"/>
                <w:spacing w:val="-3"/>
                <w:kern w:val="2"/>
                <w:sz w:val="21"/>
                <w:highlight w:val="none"/>
                <w:lang w:eastAsia="zh-CN"/>
              </w:rPr>
              <w:t>能力</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u w:val="single"/>
                <w:lang w:eastAsia="zh-CN"/>
              </w:rPr>
              <w:t>5</w:t>
            </w:r>
            <w:r>
              <w:rPr>
                <w:rFonts w:hint="eastAsia" w:ascii="宋体" w:hAnsi="宋体" w:eastAsia="宋体" w:cs="宋体"/>
                <w:color w:val="auto"/>
                <w:spacing w:val="-18"/>
                <w:kern w:val="2"/>
                <w:sz w:val="21"/>
                <w:highlight w:val="none"/>
                <w:lang w:eastAsia="zh-CN"/>
              </w:rPr>
              <w:t>分</w:t>
            </w:r>
          </w:p>
          <w:p>
            <w:pPr>
              <w:pStyle w:val="6"/>
              <w:tabs>
                <w:tab w:val="left" w:pos="1789"/>
                <w:tab w:val="left" w:pos="2320"/>
              </w:tabs>
              <w:spacing w:before="1" w:line="340" w:lineRule="atLeast"/>
              <w:ind w:right="3973"/>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监理业绩</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spacing w:val="-3"/>
                <w:kern w:val="2"/>
                <w:sz w:val="21"/>
                <w:highlight w:val="none"/>
                <w:u w:val="single"/>
                <w:lang w:eastAsia="zh-CN"/>
              </w:rPr>
              <w:t>25</w:t>
            </w:r>
            <w:r>
              <w:rPr>
                <w:rFonts w:hint="eastAsia" w:ascii="宋体" w:hAnsi="宋体" w:eastAsia="宋体" w:cs="宋体"/>
                <w:color w:val="auto"/>
                <w:kern w:val="2"/>
                <w:sz w:val="21"/>
                <w:highlight w:val="none"/>
                <w:lang w:eastAsia="zh-CN"/>
              </w:rPr>
              <w:t>分</w:t>
            </w:r>
          </w:p>
          <w:p>
            <w:pPr>
              <w:pStyle w:val="6"/>
              <w:tabs>
                <w:tab w:val="left" w:pos="527"/>
                <w:tab w:val="left" w:pos="2209"/>
              </w:tabs>
              <w:spacing w:line="339" w:lineRule="exact"/>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履约</w:t>
            </w:r>
            <w:r>
              <w:rPr>
                <w:rFonts w:hint="eastAsia" w:ascii="宋体" w:hAnsi="宋体" w:eastAsia="宋体" w:cs="宋体"/>
                <w:color w:val="auto"/>
                <w:spacing w:val="-3"/>
                <w:kern w:val="2"/>
                <w:sz w:val="21"/>
                <w:highlight w:val="none"/>
                <w:lang w:eastAsia="zh-CN"/>
              </w:rPr>
              <w:t>信</w:t>
            </w:r>
            <w:r>
              <w:rPr>
                <w:rFonts w:hint="eastAsia" w:ascii="宋体" w:hAnsi="宋体" w:eastAsia="宋体" w:cs="宋体"/>
                <w:color w:val="auto"/>
                <w:kern w:val="2"/>
                <w:sz w:val="21"/>
                <w:highlight w:val="none"/>
                <w:lang w:eastAsia="zh-CN"/>
              </w:rPr>
              <w:t>誉</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spacing w:val="-3"/>
                <w:kern w:val="2"/>
                <w:sz w:val="21"/>
                <w:highlight w:val="none"/>
                <w:u w:val="single"/>
                <w:lang w:eastAsia="zh-CN"/>
              </w:rPr>
              <w:t>10</w:t>
            </w:r>
            <w:r>
              <w:rPr>
                <w:rFonts w:hint="eastAsia" w:ascii="宋体" w:hAnsi="宋体" w:eastAsia="宋体" w:cs="宋体"/>
                <w:color w:val="auto"/>
                <w:kern w:val="2"/>
                <w:sz w:val="21"/>
                <w:highlight w:val="none"/>
                <w:lang w:eastAsia="zh-CN"/>
              </w:rPr>
              <w:t>分</w:t>
            </w:r>
          </w:p>
          <w:p>
            <w:pPr>
              <w:pStyle w:val="6"/>
              <w:tabs>
                <w:tab w:val="left" w:pos="2630"/>
              </w:tabs>
              <w:spacing w:before="79" w:line="360"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kern w:val="2"/>
                <w:sz w:val="21"/>
                <w:highlight w:val="none"/>
                <w:lang w:eastAsia="zh-CN"/>
              </w:rPr>
              <w:t>第二个信封（报价</w:t>
            </w:r>
            <w:r>
              <w:rPr>
                <w:rFonts w:hint="eastAsia" w:ascii="宋体" w:hAnsi="宋体" w:eastAsia="宋体" w:cs="宋体"/>
                <w:b/>
                <w:color w:val="auto"/>
                <w:spacing w:val="-3"/>
                <w:kern w:val="2"/>
                <w:sz w:val="21"/>
                <w:highlight w:val="none"/>
                <w:lang w:eastAsia="zh-CN"/>
              </w:rPr>
              <w:t>文</w:t>
            </w:r>
            <w:r>
              <w:rPr>
                <w:rFonts w:hint="eastAsia" w:ascii="宋体" w:hAnsi="宋体" w:eastAsia="宋体" w:cs="宋体"/>
                <w:b/>
                <w:color w:val="auto"/>
                <w:kern w:val="2"/>
                <w:sz w:val="21"/>
                <w:highlight w:val="none"/>
                <w:lang w:eastAsia="zh-CN"/>
              </w:rPr>
              <w:t>件</w:t>
            </w:r>
            <w:r>
              <w:rPr>
                <w:rFonts w:hint="eastAsia" w:ascii="宋体" w:hAnsi="宋体" w:eastAsia="宋体" w:cs="宋体"/>
                <w:b/>
                <w:color w:val="auto"/>
                <w:spacing w:val="-3"/>
                <w:kern w:val="2"/>
                <w:sz w:val="21"/>
                <w:highlight w:val="none"/>
                <w:lang w:eastAsia="zh-CN"/>
              </w:rPr>
              <w:t>）</w:t>
            </w:r>
            <w:r>
              <w:rPr>
                <w:rFonts w:hint="eastAsia" w:ascii="宋体" w:hAnsi="宋体" w:eastAsia="宋体" w:cs="宋体"/>
                <w:b/>
                <w:color w:val="auto"/>
                <w:kern w:val="2"/>
                <w:sz w:val="21"/>
                <w:highlight w:val="none"/>
                <w:lang w:eastAsia="zh-CN"/>
              </w:rPr>
              <w:t>评分分值构成</w:t>
            </w:r>
            <w:r>
              <w:rPr>
                <w:rFonts w:hint="eastAsia" w:ascii="宋体" w:hAnsi="宋体" w:eastAsia="宋体" w:cs="宋体"/>
                <w:b/>
                <w:color w:val="auto"/>
                <w:spacing w:val="-16"/>
                <w:kern w:val="2"/>
                <w:sz w:val="21"/>
                <w:highlight w:val="none"/>
                <w:lang w:eastAsia="zh-CN"/>
              </w:rPr>
              <w:t>：</w:t>
            </w:r>
            <w:r>
              <w:rPr>
                <w:rFonts w:hint="eastAsia" w:ascii="宋体" w:hAnsi="宋体" w:eastAsia="宋体" w:cs="宋体"/>
                <w:color w:val="auto"/>
                <w:kern w:val="2"/>
                <w:sz w:val="21"/>
                <w:highlight w:val="none"/>
                <w:lang w:eastAsia="zh-CN"/>
              </w:rPr>
              <w:t>评标</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w:t>
            </w:r>
            <w:r>
              <w:rPr>
                <w:rFonts w:hint="eastAsia" w:ascii="宋体" w:hAnsi="宋体" w:eastAsia="宋体" w:cs="宋体"/>
                <w:color w:val="auto"/>
                <w:kern w:val="2"/>
                <w:sz w:val="21"/>
                <w:highlight w:val="none"/>
                <w:u w:val="single"/>
                <w:lang w:eastAsia="zh-CN"/>
              </w:rPr>
              <w:t>10</w:t>
            </w:r>
            <w:r>
              <w:rPr>
                <w:rFonts w:hint="eastAsia" w:ascii="宋体" w:hAnsi="宋体" w:eastAsia="宋体" w:cs="宋体"/>
                <w:color w:val="auto"/>
                <w:kern w:val="2"/>
                <w:sz w:val="21"/>
                <w:highlight w:val="none"/>
                <w:lang w:eastAsia="zh-CN"/>
              </w:rPr>
              <w:t>分</w:t>
            </w:r>
          </w:p>
        </w:tc>
      </w:tr>
      <w:tr>
        <w:tblPrEx>
          <w:tblCellMar>
            <w:top w:w="0" w:type="dxa"/>
            <w:left w:w="0" w:type="dxa"/>
            <w:bottom w:w="0" w:type="dxa"/>
            <w:right w:w="0" w:type="dxa"/>
          </w:tblCellMar>
        </w:tblPrEx>
        <w:trPr>
          <w:trHeight w:val="7218" w:hRule="exac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rPr>
              <w:t>2.2.2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 计算方法</w:t>
            </w:r>
          </w:p>
        </w:tc>
        <w:tc>
          <w:tcPr>
            <w:tcW w:w="6625" w:type="dxa"/>
            <w:tcBorders>
              <w:top w:val="single" w:color="000000" w:sz="4" w:space="0"/>
              <w:left w:val="single" w:color="000000" w:sz="4" w:space="0"/>
              <w:bottom w:val="single" w:color="000000" w:sz="4" w:space="0"/>
              <w:right w:val="single" w:color="000000" w:sz="4" w:space="0"/>
            </w:tcBorders>
            <w:noWrap w:val="0"/>
            <w:vAlign w:val="top"/>
          </w:tcPr>
          <w:p>
            <w:pPr>
              <w:pStyle w:val="6"/>
              <w:kinsoku w:val="0"/>
              <w:overflowPunct w:val="0"/>
              <w:spacing w:before="57" w:line="276" w:lineRule="auto"/>
              <w:rPr>
                <w:rFonts w:hint="eastAsia" w:ascii="宋体" w:hAnsi="宋体" w:eastAsia="宋体" w:cs="宋体"/>
                <w:color w:val="auto"/>
                <w:kern w:val="2"/>
                <w:sz w:val="24"/>
                <w:highlight w:val="none"/>
                <w:lang w:eastAsia="zh-CN"/>
              </w:rPr>
            </w:pPr>
            <w:r>
              <w:rPr>
                <w:rFonts w:hint="eastAsia" w:ascii="宋体" w:hAnsi="宋体" w:eastAsia="宋体" w:cs="宋体"/>
                <w:color w:val="auto"/>
                <w:spacing w:val="-1"/>
                <w:kern w:val="2"/>
                <w:sz w:val="21"/>
                <w:highlight w:val="none"/>
                <w:lang w:eastAsia="zh-CN"/>
              </w:rPr>
              <w:t>评标基准价的计算：</w:t>
            </w:r>
          </w:p>
          <w:p>
            <w:pPr>
              <w:pStyle w:val="6"/>
              <w:kinsoku w:val="0"/>
              <w:overflowPunct w:val="0"/>
              <w:spacing w:before="14" w:line="276" w:lineRule="auto"/>
              <w:rPr>
                <w:rFonts w:hint="eastAsia" w:ascii="宋体" w:hAnsi="宋体" w:eastAsia="宋体" w:cs="宋体"/>
                <w:color w:val="auto"/>
                <w:kern w:val="2"/>
                <w:sz w:val="24"/>
                <w:highlight w:val="none"/>
                <w:lang w:eastAsia="zh-CN"/>
              </w:rPr>
            </w:pPr>
            <w:r>
              <w:rPr>
                <w:rFonts w:hint="eastAsia" w:ascii="宋体" w:hAnsi="宋体" w:eastAsia="宋体" w:cs="宋体"/>
                <w:color w:val="auto"/>
                <w:spacing w:val="-2"/>
                <w:kern w:val="2"/>
                <w:sz w:val="21"/>
                <w:highlight w:val="none"/>
                <w:lang w:eastAsia="zh-CN"/>
              </w:rPr>
              <w:t>在开标现场，招标人将当场计算并宣布评标基准价。</w:t>
            </w:r>
          </w:p>
          <w:p>
            <w:pPr>
              <w:pStyle w:val="6"/>
              <w:kinsoku w:val="0"/>
              <w:overflowPunct w:val="0"/>
              <w:spacing w:before="14" w:line="276" w:lineRule="auto"/>
              <w:rPr>
                <w:rFonts w:hint="eastAsia" w:ascii="宋体" w:hAnsi="宋体" w:eastAsia="宋体" w:cs="宋体"/>
                <w:color w:val="auto"/>
                <w:kern w:val="2"/>
                <w:sz w:val="24"/>
                <w:highlight w:val="none"/>
                <w:lang w:eastAsia="zh-CN"/>
              </w:rPr>
            </w:pPr>
            <w:r>
              <w:rPr>
                <w:rFonts w:hint="eastAsia" w:ascii="宋体" w:hAnsi="宋体" w:eastAsia="宋体" w:cs="宋体"/>
                <w:color w:val="auto"/>
                <w:spacing w:val="-2"/>
                <w:kern w:val="2"/>
                <w:sz w:val="21"/>
                <w:highlight w:val="none"/>
                <w:lang w:eastAsia="zh-CN"/>
              </w:rPr>
              <w:t>（1）评标价的确定：</w:t>
            </w:r>
          </w:p>
          <w:p>
            <w:pPr>
              <w:pStyle w:val="6"/>
              <w:kinsoku w:val="0"/>
              <w:overflowPunct w:val="0"/>
              <w:spacing w:before="14" w:line="276" w:lineRule="auto"/>
              <w:rPr>
                <w:rFonts w:hint="eastAsia" w:ascii="宋体" w:hAnsi="宋体" w:eastAsia="宋体" w:cs="宋体"/>
                <w:color w:val="auto"/>
                <w:kern w:val="2"/>
                <w:sz w:val="24"/>
                <w:highlight w:val="none"/>
                <w:lang w:eastAsia="zh-CN"/>
              </w:rPr>
            </w:pPr>
            <w:r>
              <w:rPr>
                <w:rFonts w:hint="eastAsia" w:ascii="宋体" w:hAnsi="宋体" w:eastAsia="宋体" w:cs="宋体"/>
                <w:color w:val="auto"/>
                <w:spacing w:val="-2"/>
                <w:kern w:val="2"/>
                <w:sz w:val="21"/>
                <w:highlight w:val="none"/>
                <w:lang w:eastAsia="zh-CN"/>
              </w:rPr>
              <w:t>评标价＝投标函文字报价</w:t>
            </w:r>
          </w:p>
          <w:p>
            <w:pPr>
              <w:pStyle w:val="6"/>
              <w:kinsoku w:val="0"/>
              <w:overflowPunct w:val="0"/>
              <w:spacing w:before="14" w:line="276" w:lineRule="auto"/>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1"/>
                <w:highlight w:val="none"/>
                <w:lang w:eastAsia="zh-CN"/>
              </w:rPr>
              <w:t>（2</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kern w:val="2"/>
                <w:sz w:val="21"/>
                <w:highlight w:val="none"/>
                <w:lang w:eastAsia="zh-CN"/>
              </w:rPr>
              <w:t>评</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价</w:t>
            </w:r>
            <w:r>
              <w:rPr>
                <w:rFonts w:hint="eastAsia" w:ascii="宋体" w:hAnsi="宋体" w:eastAsia="宋体" w:cs="宋体"/>
                <w:color w:val="auto"/>
                <w:spacing w:val="-3"/>
                <w:kern w:val="2"/>
                <w:sz w:val="21"/>
                <w:highlight w:val="none"/>
                <w:lang w:eastAsia="zh-CN"/>
              </w:rPr>
              <w:t>的</w:t>
            </w:r>
            <w:r>
              <w:rPr>
                <w:rFonts w:hint="eastAsia" w:ascii="宋体" w:hAnsi="宋体" w:eastAsia="宋体" w:cs="宋体"/>
                <w:color w:val="auto"/>
                <w:kern w:val="2"/>
                <w:sz w:val="21"/>
                <w:highlight w:val="none"/>
                <w:lang w:eastAsia="zh-CN"/>
              </w:rPr>
              <w:t>平</w:t>
            </w:r>
            <w:r>
              <w:rPr>
                <w:rFonts w:hint="eastAsia" w:ascii="宋体" w:hAnsi="宋体" w:eastAsia="宋体" w:cs="宋体"/>
                <w:color w:val="auto"/>
                <w:spacing w:val="-3"/>
                <w:kern w:val="2"/>
                <w:sz w:val="21"/>
                <w:highlight w:val="none"/>
                <w:lang w:eastAsia="zh-CN"/>
              </w:rPr>
              <w:t>均</w:t>
            </w:r>
            <w:r>
              <w:rPr>
                <w:rFonts w:hint="eastAsia" w:ascii="宋体" w:hAnsi="宋体" w:eastAsia="宋体" w:cs="宋体"/>
                <w:color w:val="auto"/>
                <w:kern w:val="2"/>
                <w:sz w:val="21"/>
                <w:highlight w:val="none"/>
                <w:lang w:eastAsia="zh-CN"/>
              </w:rPr>
              <w:t>值</w:t>
            </w:r>
            <w:r>
              <w:rPr>
                <w:rFonts w:hint="eastAsia" w:ascii="宋体" w:hAnsi="宋体" w:eastAsia="宋体" w:cs="宋体"/>
                <w:color w:val="auto"/>
                <w:spacing w:val="-3"/>
                <w:kern w:val="2"/>
                <w:sz w:val="21"/>
                <w:highlight w:val="none"/>
                <w:lang w:eastAsia="zh-CN"/>
              </w:rPr>
              <w:t>的计</w:t>
            </w:r>
            <w:r>
              <w:rPr>
                <w:rFonts w:hint="eastAsia" w:ascii="宋体" w:hAnsi="宋体" w:eastAsia="宋体" w:cs="宋体"/>
                <w:color w:val="auto"/>
                <w:kern w:val="2"/>
                <w:sz w:val="21"/>
                <w:highlight w:val="none"/>
                <w:lang w:eastAsia="zh-CN"/>
              </w:rPr>
              <w:t>算</w:t>
            </w:r>
            <w:r>
              <w:rPr>
                <w:rFonts w:hint="eastAsia" w:ascii="宋体" w:hAnsi="宋体" w:eastAsia="宋体" w:cs="宋体"/>
                <w:color w:val="auto"/>
                <w:spacing w:val="-106"/>
                <w:kern w:val="2"/>
                <w:sz w:val="21"/>
                <w:highlight w:val="none"/>
                <w:lang w:eastAsia="zh-CN"/>
              </w:rPr>
              <w:t>：</w:t>
            </w:r>
          </w:p>
          <w:p>
            <w:pPr>
              <w:pStyle w:val="6"/>
              <w:kinsoku w:val="0"/>
              <w:overflowPunct w:val="0"/>
              <w:spacing w:before="14" w:line="276" w:lineRule="auto"/>
              <w:rPr>
                <w:rFonts w:hint="eastAsia" w:ascii="宋体" w:hAnsi="宋体" w:eastAsia="宋体" w:cs="宋体"/>
                <w:color w:val="auto"/>
                <w:kern w:val="2"/>
                <w:sz w:val="24"/>
                <w:highlight w:val="none"/>
                <w:lang w:eastAsia="zh-CN"/>
              </w:rPr>
            </w:pPr>
            <w:r>
              <w:rPr>
                <w:rFonts w:hint="eastAsia" w:ascii="宋体" w:hAnsi="宋体" w:eastAsia="宋体" w:cs="宋体"/>
                <w:color w:val="auto"/>
                <w:kern w:val="2"/>
                <w:sz w:val="21"/>
                <w:highlight w:val="none"/>
                <w:lang w:eastAsia="zh-CN"/>
              </w:rPr>
              <w:t>①除</w:t>
            </w:r>
            <w:r>
              <w:rPr>
                <w:rFonts w:hint="eastAsia" w:ascii="宋体" w:hAnsi="宋体" w:eastAsia="宋体" w:cs="宋体"/>
                <w:color w:val="auto"/>
                <w:spacing w:val="-3"/>
                <w:kern w:val="2"/>
                <w:sz w:val="21"/>
                <w:highlight w:val="none"/>
                <w:lang w:eastAsia="zh-CN"/>
              </w:rPr>
              <w:t>按</w:t>
            </w:r>
            <w:r>
              <w:rPr>
                <w:rFonts w:hint="eastAsia" w:ascii="宋体" w:hAnsi="宋体" w:eastAsia="宋体" w:cs="宋体"/>
                <w:color w:val="auto"/>
                <w:kern w:val="2"/>
                <w:sz w:val="21"/>
                <w:highlight w:val="none"/>
                <w:lang w:eastAsia="zh-CN"/>
              </w:rPr>
              <w:t>第二章</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kern w:val="2"/>
                <w:sz w:val="21"/>
                <w:highlight w:val="none"/>
                <w:lang w:eastAsia="zh-CN"/>
              </w:rPr>
              <w:t>投</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人</w:t>
            </w:r>
            <w:r>
              <w:rPr>
                <w:rFonts w:hint="eastAsia" w:ascii="宋体" w:hAnsi="宋体" w:eastAsia="宋体" w:cs="宋体"/>
                <w:color w:val="auto"/>
                <w:spacing w:val="-3"/>
                <w:kern w:val="2"/>
                <w:sz w:val="21"/>
                <w:highlight w:val="none"/>
                <w:lang w:eastAsia="zh-CN"/>
              </w:rPr>
              <w:t>须</w:t>
            </w:r>
            <w:r>
              <w:rPr>
                <w:rFonts w:hint="eastAsia" w:ascii="宋体" w:hAnsi="宋体" w:eastAsia="宋体" w:cs="宋体"/>
                <w:color w:val="auto"/>
                <w:kern w:val="2"/>
                <w:sz w:val="21"/>
                <w:highlight w:val="none"/>
                <w:lang w:eastAsia="zh-CN"/>
              </w:rPr>
              <w:t>知</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kern w:val="2"/>
                <w:sz w:val="21"/>
                <w:highlight w:val="none"/>
                <w:lang w:eastAsia="zh-CN"/>
              </w:rPr>
              <w:t>第5.2</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kern w:val="2"/>
                <w:sz w:val="21"/>
                <w:highlight w:val="none"/>
                <w:lang w:eastAsia="zh-CN"/>
              </w:rPr>
              <w:t>4</w:t>
            </w:r>
            <w:r>
              <w:rPr>
                <w:rFonts w:hint="eastAsia" w:ascii="宋体" w:hAnsi="宋体" w:eastAsia="宋体" w:cs="宋体"/>
                <w:color w:val="auto"/>
                <w:spacing w:val="-3"/>
                <w:kern w:val="2"/>
                <w:sz w:val="21"/>
                <w:highlight w:val="none"/>
                <w:lang w:eastAsia="zh-CN"/>
              </w:rPr>
              <w:t>项</w:t>
            </w:r>
            <w:r>
              <w:rPr>
                <w:rFonts w:hint="eastAsia" w:ascii="宋体" w:hAnsi="宋体" w:eastAsia="宋体" w:cs="宋体"/>
                <w:color w:val="auto"/>
                <w:kern w:val="2"/>
                <w:sz w:val="21"/>
                <w:highlight w:val="none"/>
                <w:lang w:eastAsia="zh-CN"/>
              </w:rPr>
              <w:t>规</w:t>
            </w:r>
            <w:r>
              <w:rPr>
                <w:rFonts w:hint="eastAsia" w:ascii="宋体" w:hAnsi="宋体" w:eastAsia="宋体" w:cs="宋体"/>
                <w:color w:val="auto"/>
                <w:spacing w:val="-3"/>
                <w:kern w:val="2"/>
                <w:sz w:val="21"/>
                <w:highlight w:val="none"/>
                <w:lang w:eastAsia="zh-CN"/>
              </w:rPr>
              <w:t>定</w:t>
            </w:r>
            <w:r>
              <w:rPr>
                <w:rFonts w:hint="eastAsia" w:ascii="宋体" w:hAnsi="宋体" w:eastAsia="宋体" w:cs="宋体"/>
                <w:color w:val="auto"/>
                <w:kern w:val="2"/>
                <w:sz w:val="21"/>
                <w:highlight w:val="none"/>
                <w:lang w:eastAsia="zh-CN"/>
              </w:rPr>
              <w:t>开</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现场</w:t>
            </w:r>
            <w:r>
              <w:rPr>
                <w:rFonts w:hint="eastAsia" w:ascii="宋体" w:hAnsi="宋体" w:eastAsia="宋体" w:cs="宋体"/>
                <w:color w:val="auto"/>
                <w:spacing w:val="-3"/>
                <w:kern w:val="2"/>
                <w:sz w:val="21"/>
                <w:highlight w:val="none"/>
                <w:lang w:eastAsia="zh-CN"/>
              </w:rPr>
              <w:t>被</w:t>
            </w:r>
            <w:r>
              <w:rPr>
                <w:rFonts w:hint="eastAsia" w:ascii="宋体" w:hAnsi="宋体" w:eastAsia="宋体" w:cs="宋体"/>
                <w:color w:val="auto"/>
                <w:kern w:val="2"/>
                <w:sz w:val="21"/>
                <w:highlight w:val="none"/>
                <w:lang w:eastAsia="zh-CN"/>
              </w:rPr>
              <w:t>宣</w:t>
            </w:r>
            <w:r>
              <w:rPr>
                <w:rFonts w:hint="eastAsia" w:ascii="宋体" w:hAnsi="宋体" w:eastAsia="宋体" w:cs="宋体"/>
                <w:color w:val="auto"/>
                <w:spacing w:val="-3"/>
                <w:kern w:val="2"/>
                <w:sz w:val="21"/>
                <w:highlight w:val="none"/>
                <w:lang w:eastAsia="zh-CN"/>
              </w:rPr>
              <w:t>布</w:t>
            </w:r>
            <w:r>
              <w:rPr>
                <w:rFonts w:hint="eastAsia" w:ascii="宋体" w:hAnsi="宋体" w:eastAsia="宋体" w:cs="宋体"/>
                <w:color w:val="auto"/>
                <w:kern w:val="2"/>
                <w:sz w:val="21"/>
                <w:highlight w:val="none"/>
                <w:lang w:eastAsia="zh-CN"/>
              </w:rPr>
              <w:t>不进入</w:t>
            </w:r>
            <w:r>
              <w:rPr>
                <w:rFonts w:hint="eastAsia" w:ascii="宋体" w:hAnsi="宋体" w:eastAsia="宋体" w:cs="宋体"/>
                <w:color w:val="auto"/>
                <w:spacing w:val="-3"/>
                <w:kern w:val="2"/>
                <w:sz w:val="21"/>
                <w:highlight w:val="none"/>
                <w:lang w:eastAsia="zh-CN"/>
              </w:rPr>
              <w:t>评</w:t>
            </w:r>
            <w:r>
              <w:rPr>
                <w:rFonts w:hint="eastAsia" w:ascii="宋体" w:hAnsi="宋体" w:eastAsia="宋体" w:cs="宋体"/>
                <w:color w:val="auto"/>
                <w:kern w:val="2"/>
                <w:sz w:val="21"/>
                <w:highlight w:val="none"/>
                <w:lang w:eastAsia="zh-CN"/>
              </w:rPr>
              <w:t>标</w:t>
            </w:r>
            <w:r>
              <w:rPr>
                <w:rFonts w:hint="eastAsia" w:ascii="宋体" w:hAnsi="宋体" w:eastAsia="宋体" w:cs="宋体"/>
                <w:color w:val="auto"/>
                <w:spacing w:val="-3"/>
                <w:kern w:val="2"/>
                <w:sz w:val="21"/>
                <w:highlight w:val="none"/>
                <w:lang w:eastAsia="zh-CN"/>
              </w:rPr>
              <w:t>基</w:t>
            </w:r>
            <w:r>
              <w:rPr>
                <w:rFonts w:hint="eastAsia" w:ascii="宋体" w:hAnsi="宋体" w:eastAsia="宋体" w:cs="宋体"/>
                <w:color w:val="auto"/>
                <w:kern w:val="2"/>
                <w:sz w:val="21"/>
                <w:highlight w:val="none"/>
                <w:lang w:eastAsia="zh-CN"/>
              </w:rPr>
              <w:t>准</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计</w:t>
            </w:r>
            <w:r>
              <w:rPr>
                <w:rFonts w:hint="eastAsia" w:ascii="宋体" w:hAnsi="宋体" w:eastAsia="宋体" w:cs="宋体"/>
                <w:color w:val="auto"/>
                <w:spacing w:val="-3"/>
                <w:kern w:val="2"/>
                <w:sz w:val="21"/>
                <w:highlight w:val="none"/>
                <w:lang w:eastAsia="zh-CN"/>
              </w:rPr>
              <w:t>算</w:t>
            </w:r>
            <w:r>
              <w:rPr>
                <w:rFonts w:hint="eastAsia" w:ascii="宋体" w:hAnsi="宋体" w:eastAsia="宋体" w:cs="宋体"/>
                <w:color w:val="auto"/>
                <w:kern w:val="2"/>
                <w:sz w:val="21"/>
                <w:highlight w:val="none"/>
                <w:lang w:eastAsia="zh-CN"/>
              </w:rPr>
              <w:t>的</w:t>
            </w:r>
            <w:r>
              <w:rPr>
                <w:rFonts w:hint="eastAsia" w:ascii="宋体" w:hAnsi="宋体" w:eastAsia="宋体" w:cs="宋体"/>
                <w:color w:val="auto"/>
                <w:spacing w:val="-3"/>
                <w:kern w:val="2"/>
                <w:sz w:val="21"/>
                <w:highlight w:val="none"/>
                <w:lang w:eastAsia="zh-CN"/>
              </w:rPr>
              <w:t>投</w:t>
            </w:r>
            <w:r>
              <w:rPr>
                <w:rFonts w:hint="eastAsia" w:ascii="宋体" w:hAnsi="宋体" w:eastAsia="宋体" w:cs="宋体"/>
                <w:color w:val="auto"/>
                <w:kern w:val="2"/>
                <w:sz w:val="21"/>
                <w:highlight w:val="none"/>
                <w:lang w:eastAsia="zh-CN"/>
              </w:rPr>
              <w:t>标报</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之</w:t>
            </w:r>
            <w:r>
              <w:rPr>
                <w:rFonts w:hint="eastAsia" w:ascii="宋体" w:hAnsi="宋体" w:eastAsia="宋体" w:cs="宋体"/>
                <w:color w:val="auto"/>
                <w:spacing w:val="-3"/>
                <w:kern w:val="2"/>
                <w:sz w:val="21"/>
                <w:highlight w:val="none"/>
                <w:lang w:eastAsia="zh-CN"/>
              </w:rPr>
              <w:t>外</w:t>
            </w:r>
            <w:r>
              <w:rPr>
                <w:rFonts w:hint="eastAsia" w:ascii="宋体" w:hAnsi="宋体" w:eastAsia="宋体" w:cs="宋体"/>
                <w:color w:val="auto"/>
                <w:spacing w:val="-106"/>
                <w:kern w:val="2"/>
                <w:sz w:val="21"/>
                <w:highlight w:val="none"/>
                <w:lang w:eastAsia="zh-CN"/>
              </w:rPr>
              <w:t>，</w:t>
            </w:r>
            <w:r>
              <w:rPr>
                <w:rFonts w:hint="eastAsia" w:ascii="宋体" w:hAnsi="宋体" w:eastAsia="宋体" w:cs="宋体"/>
                <w:color w:val="auto"/>
                <w:kern w:val="2"/>
                <w:sz w:val="21"/>
                <w:highlight w:val="none"/>
                <w:lang w:eastAsia="zh-CN"/>
              </w:rPr>
              <w:t>所</w:t>
            </w:r>
            <w:r>
              <w:rPr>
                <w:rFonts w:hint="eastAsia" w:ascii="宋体" w:hAnsi="宋体" w:eastAsia="宋体" w:cs="宋体"/>
                <w:color w:val="auto"/>
                <w:spacing w:val="-3"/>
                <w:kern w:val="2"/>
                <w:sz w:val="21"/>
                <w:highlight w:val="none"/>
                <w:lang w:eastAsia="zh-CN"/>
              </w:rPr>
              <w:t>有</w:t>
            </w:r>
            <w:r>
              <w:rPr>
                <w:rFonts w:hint="eastAsia" w:ascii="宋体" w:hAnsi="宋体" w:eastAsia="宋体" w:cs="宋体"/>
                <w:color w:val="auto"/>
                <w:kern w:val="2"/>
                <w:sz w:val="21"/>
                <w:highlight w:val="none"/>
                <w:lang w:eastAsia="zh-CN"/>
              </w:rPr>
              <w:t>投</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人</w:t>
            </w:r>
            <w:r>
              <w:rPr>
                <w:rFonts w:hint="eastAsia" w:ascii="宋体" w:hAnsi="宋体" w:eastAsia="宋体" w:cs="宋体"/>
                <w:color w:val="auto"/>
                <w:spacing w:val="-3"/>
                <w:kern w:val="2"/>
                <w:sz w:val="21"/>
                <w:highlight w:val="none"/>
                <w:lang w:eastAsia="zh-CN"/>
              </w:rPr>
              <w:t>的</w:t>
            </w:r>
            <w:r>
              <w:rPr>
                <w:rFonts w:hint="eastAsia" w:ascii="宋体" w:hAnsi="宋体" w:eastAsia="宋体" w:cs="宋体"/>
                <w:color w:val="auto"/>
                <w:kern w:val="2"/>
                <w:sz w:val="21"/>
                <w:highlight w:val="none"/>
                <w:lang w:eastAsia="zh-CN"/>
              </w:rPr>
              <w:t>评标</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去</w:t>
            </w:r>
            <w:r>
              <w:rPr>
                <w:rFonts w:hint="eastAsia" w:ascii="宋体" w:hAnsi="宋体" w:eastAsia="宋体" w:cs="宋体"/>
                <w:color w:val="auto"/>
                <w:spacing w:val="-3"/>
                <w:kern w:val="2"/>
                <w:sz w:val="21"/>
                <w:highlight w:val="none"/>
                <w:lang w:eastAsia="zh-CN"/>
              </w:rPr>
              <w:t>掉</w:t>
            </w:r>
            <w:r>
              <w:rPr>
                <w:rFonts w:hint="eastAsia" w:ascii="宋体" w:hAnsi="宋体" w:eastAsia="宋体" w:cs="宋体"/>
                <w:color w:val="auto"/>
                <w:kern w:val="2"/>
                <w:sz w:val="21"/>
                <w:highlight w:val="none"/>
                <w:lang w:eastAsia="zh-CN"/>
              </w:rPr>
              <w:t>一</w:t>
            </w:r>
            <w:r>
              <w:rPr>
                <w:rFonts w:hint="eastAsia" w:ascii="宋体" w:hAnsi="宋体" w:eastAsia="宋体" w:cs="宋体"/>
                <w:color w:val="auto"/>
                <w:spacing w:val="-3"/>
                <w:kern w:val="2"/>
                <w:sz w:val="21"/>
                <w:highlight w:val="none"/>
                <w:lang w:eastAsia="zh-CN"/>
              </w:rPr>
              <w:t>个</w:t>
            </w:r>
            <w:r>
              <w:rPr>
                <w:rFonts w:hint="eastAsia" w:ascii="宋体" w:hAnsi="宋体" w:eastAsia="宋体" w:cs="宋体"/>
                <w:color w:val="auto"/>
                <w:kern w:val="2"/>
                <w:sz w:val="21"/>
                <w:highlight w:val="none"/>
                <w:lang w:eastAsia="zh-CN"/>
              </w:rPr>
              <w:t>最高值</w:t>
            </w:r>
            <w:r>
              <w:rPr>
                <w:rFonts w:hint="eastAsia" w:ascii="宋体" w:hAnsi="宋体" w:eastAsia="宋体" w:cs="宋体"/>
                <w:color w:val="auto"/>
                <w:spacing w:val="-3"/>
                <w:kern w:val="2"/>
                <w:sz w:val="21"/>
                <w:highlight w:val="none"/>
                <w:lang w:eastAsia="zh-CN"/>
              </w:rPr>
              <w:t>和</w:t>
            </w:r>
            <w:r>
              <w:rPr>
                <w:rFonts w:hint="eastAsia" w:ascii="宋体" w:hAnsi="宋体" w:eastAsia="宋体" w:cs="宋体"/>
                <w:color w:val="auto"/>
                <w:kern w:val="2"/>
                <w:sz w:val="21"/>
                <w:highlight w:val="none"/>
                <w:lang w:eastAsia="zh-CN"/>
              </w:rPr>
              <w:t>一</w:t>
            </w:r>
            <w:r>
              <w:rPr>
                <w:rFonts w:hint="eastAsia" w:ascii="宋体" w:hAnsi="宋体" w:eastAsia="宋体" w:cs="宋体"/>
                <w:color w:val="auto"/>
                <w:spacing w:val="-3"/>
                <w:kern w:val="2"/>
                <w:sz w:val="21"/>
                <w:highlight w:val="none"/>
                <w:lang w:eastAsia="zh-CN"/>
              </w:rPr>
              <w:t>个</w:t>
            </w:r>
            <w:r>
              <w:rPr>
                <w:rFonts w:hint="eastAsia" w:ascii="宋体" w:hAnsi="宋体" w:eastAsia="宋体" w:cs="宋体"/>
                <w:color w:val="auto"/>
                <w:kern w:val="2"/>
                <w:sz w:val="21"/>
                <w:highlight w:val="none"/>
                <w:lang w:eastAsia="zh-CN"/>
              </w:rPr>
              <w:t>最</w:t>
            </w:r>
            <w:r>
              <w:rPr>
                <w:rFonts w:hint="eastAsia" w:ascii="宋体" w:hAnsi="宋体" w:eastAsia="宋体" w:cs="宋体"/>
                <w:color w:val="auto"/>
                <w:spacing w:val="-3"/>
                <w:kern w:val="2"/>
                <w:sz w:val="21"/>
                <w:highlight w:val="none"/>
                <w:lang w:eastAsia="zh-CN"/>
              </w:rPr>
              <w:t>低</w:t>
            </w:r>
            <w:r>
              <w:rPr>
                <w:rFonts w:hint="eastAsia" w:ascii="宋体" w:hAnsi="宋体" w:eastAsia="宋体" w:cs="宋体"/>
                <w:color w:val="auto"/>
                <w:kern w:val="2"/>
                <w:sz w:val="21"/>
                <w:highlight w:val="none"/>
                <w:lang w:eastAsia="zh-CN"/>
              </w:rPr>
              <w:t>值</w:t>
            </w:r>
            <w:r>
              <w:rPr>
                <w:rFonts w:hint="eastAsia" w:ascii="宋体" w:hAnsi="宋体" w:eastAsia="宋体" w:cs="宋体"/>
                <w:color w:val="auto"/>
                <w:spacing w:val="-3"/>
                <w:kern w:val="2"/>
                <w:sz w:val="21"/>
                <w:highlight w:val="none"/>
                <w:lang w:eastAsia="zh-CN"/>
              </w:rPr>
              <w:t>后</w:t>
            </w:r>
            <w:r>
              <w:rPr>
                <w:rFonts w:hint="eastAsia" w:ascii="宋体" w:hAnsi="宋体" w:eastAsia="宋体" w:cs="宋体"/>
                <w:color w:val="auto"/>
                <w:kern w:val="2"/>
                <w:sz w:val="21"/>
                <w:highlight w:val="none"/>
                <w:lang w:eastAsia="zh-CN"/>
              </w:rPr>
              <w:t>的</w:t>
            </w:r>
            <w:r>
              <w:rPr>
                <w:rFonts w:hint="eastAsia" w:ascii="宋体" w:hAnsi="宋体" w:eastAsia="宋体" w:cs="宋体"/>
                <w:color w:val="auto"/>
                <w:spacing w:val="-3"/>
                <w:kern w:val="2"/>
                <w:sz w:val="21"/>
                <w:highlight w:val="none"/>
                <w:lang w:eastAsia="zh-CN"/>
              </w:rPr>
              <w:t>算</w:t>
            </w:r>
            <w:r>
              <w:rPr>
                <w:rFonts w:hint="eastAsia" w:ascii="宋体" w:hAnsi="宋体" w:eastAsia="宋体" w:cs="宋体"/>
                <w:color w:val="auto"/>
                <w:kern w:val="2"/>
                <w:sz w:val="21"/>
                <w:highlight w:val="none"/>
                <w:lang w:eastAsia="zh-CN"/>
              </w:rPr>
              <w:t>术平</w:t>
            </w:r>
            <w:r>
              <w:rPr>
                <w:rFonts w:hint="eastAsia" w:ascii="宋体" w:hAnsi="宋体" w:eastAsia="宋体" w:cs="宋体"/>
                <w:color w:val="auto"/>
                <w:spacing w:val="-3"/>
                <w:kern w:val="2"/>
                <w:sz w:val="21"/>
                <w:highlight w:val="none"/>
                <w:lang w:eastAsia="zh-CN"/>
              </w:rPr>
              <w:t>均</w:t>
            </w:r>
            <w:r>
              <w:rPr>
                <w:rFonts w:hint="eastAsia" w:ascii="宋体" w:hAnsi="宋体" w:eastAsia="宋体" w:cs="宋体"/>
                <w:color w:val="auto"/>
                <w:kern w:val="2"/>
                <w:sz w:val="21"/>
                <w:highlight w:val="none"/>
                <w:lang w:eastAsia="zh-CN"/>
              </w:rPr>
              <w:t>值</w:t>
            </w:r>
            <w:r>
              <w:rPr>
                <w:rFonts w:hint="eastAsia" w:ascii="宋体" w:hAnsi="宋体" w:eastAsia="宋体" w:cs="宋体"/>
                <w:color w:val="auto"/>
                <w:spacing w:val="-3"/>
                <w:kern w:val="2"/>
                <w:sz w:val="21"/>
                <w:highlight w:val="none"/>
                <w:lang w:eastAsia="zh-CN"/>
              </w:rPr>
              <w:t>即</w:t>
            </w:r>
            <w:r>
              <w:rPr>
                <w:rFonts w:hint="eastAsia" w:ascii="宋体" w:hAnsi="宋体" w:eastAsia="宋体" w:cs="宋体"/>
                <w:color w:val="auto"/>
                <w:kern w:val="2"/>
                <w:sz w:val="21"/>
                <w:highlight w:val="none"/>
                <w:lang w:eastAsia="zh-CN"/>
              </w:rPr>
              <w:t>为</w:t>
            </w:r>
            <w:r>
              <w:rPr>
                <w:rFonts w:hint="eastAsia" w:ascii="宋体" w:hAnsi="宋体" w:eastAsia="宋体" w:cs="宋体"/>
                <w:color w:val="auto"/>
                <w:spacing w:val="-3"/>
                <w:kern w:val="2"/>
                <w:sz w:val="21"/>
                <w:highlight w:val="none"/>
                <w:lang w:eastAsia="zh-CN"/>
              </w:rPr>
              <w:t>评</w:t>
            </w:r>
            <w:r>
              <w:rPr>
                <w:rFonts w:hint="eastAsia" w:ascii="宋体" w:hAnsi="宋体" w:eastAsia="宋体" w:cs="宋体"/>
                <w:color w:val="auto"/>
                <w:kern w:val="2"/>
                <w:sz w:val="21"/>
                <w:highlight w:val="none"/>
                <w:lang w:eastAsia="zh-CN"/>
              </w:rPr>
              <w:t>标</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平</w:t>
            </w:r>
            <w:r>
              <w:rPr>
                <w:rFonts w:hint="eastAsia" w:ascii="宋体" w:hAnsi="宋体" w:eastAsia="宋体" w:cs="宋体"/>
                <w:color w:val="auto"/>
                <w:spacing w:val="-3"/>
                <w:kern w:val="2"/>
                <w:sz w:val="21"/>
                <w:highlight w:val="none"/>
                <w:lang w:eastAsia="zh-CN"/>
              </w:rPr>
              <w:t>均</w:t>
            </w:r>
            <w:r>
              <w:rPr>
                <w:rFonts w:hint="eastAsia" w:ascii="宋体" w:hAnsi="宋体" w:eastAsia="宋体" w:cs="宋体"/>
                <w:color w:val="auto"/>
                <w:spacing w:val="-104"/>
                <w:kern w:val="2"/>
                <w:sz w:val="21"/>
                <w:highlight w:val="none"/>
                <w:lang w:eastAsia="zh-CN"/>
              </w:rPr>
              <w:t>值</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kern w:val="2"/>
                <w:sz w:val="21"/>
                <w:highlight w:val="none"/>
                <w:lang w:eastAsia="zh-CN"/>
              </w:rPr>
              <w:t>如</w:t>
            </w:r>
            <w:r>
              <w:rPr>
                <w:rFonts w:hint="eastAsia" w:ascii="宋体" w:hAnsi="宋体" w:eastAsia="宋体" w:cs="宋体"/>
                <w:color w:val="auto"/>
                <w:spacing w:val="-3"/>
                <w:kern w:val="2"/>
                <w:sz w:val="21"/>
                <w:highlight w:val="none"/>
                <w:lang w:eastAsia="zh-CN"/>
              </w:rPr>
              <w:t>果</w:t>
            </w:r>
            <w:r>
              <w:rPr>
                <w:rFonts w:hint="eastAsia" w:ascii="宋体" w:hAnsi="宋体" w:eastAsia="宋体" w:cs="宋体"/>
                <w:color w:val="auto"/>
                <w:kern w:val="2"/>
                <w:sz w:val="21"/>
                <w:highlight w:val="none"/>
                <w:lang w:eastAsia="zh-CN"/>
              </w:rPr>
              <w:t>参</w:t>
            </w:r>
            <w:r>
              <w:rPr>
                <w:rFonts w:hint="eastAsia" w:ascii="宋体" w:hAnsi="宋体" w:eastAsia="宋体" w:cs="宋体"/>
                <w:color w:val="auto"/>
                <w:spacing w:val="-3"/>
                <w:kern w:val="2"/>
                <w:sz w:val="21"/>
                <w:highlight w:val="none"/>
                <w:lang w:eastAsia="zh-CN"/>
              </w:rPr>
              <w:t>加</w:t>
            </w:r>
            <w:r>
              <w:rPr>
                <w:rFonts w:hint="eastAsia" w:ascii="宋体" w:hAnsi="宋体" w:eastAsia="宋体" w:cs="宋体"/>
                <w:color w:val="auto"/>
                <w:kern w:val="2"/>
                <w:sz w:val="21"/>
                <w:highlight w:val="none"/>
                <w:lang w:eastAsia="zh-CN"/>
              </w:rPr>
              <w:t>评</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价平均</w:t>
            </w:r>
            <w:r>
              <w:rPr>
                <w:rFonts w:hint="eastAsia" w:ascii="宋体" w:hAnsi="宋体" w:eastAsia="宋体" w:cs="宋体"/>
                <w:color w:val="auto"/>
                <w:spacing w:val="-3"/>
                <w:kern w:val="2"/>
                <w:sz w:val="21"/>
                <w:highlight w:val="none"/>
                <w:lang w:eastAsia="zh-CN"/>
              </w:rPr>
              <w:t>值</w:t>
            </w:r>
            <w:r>
              <w:rPr>
                <w:rFonts w:hint="eastAsia" w:ascii="宋体" w:hAnsi="宋体" w:eastAsia="宋体" w:cs="宋体"/>
                <w:color w:val="auto"/>
                <w:kern w:val="2"/>
                <w:sz w:val="21"/>
                <w:highlight w:val="none"/>
                <w:lang w:eastAsia="zh-CN"/>
              </w:rPr>
              <w:t>计</w:t>
            </w:r>
            <w:r>
              <w:rPr>
                <w:rFonts w:hint="eastAsia" w:ascii="宋体" w:hAnsi="宋体" w:eastAsia="宋体" w:cs="宋体"/>
                <w:color w:val="auto"/>
                <w:spacing w:val="-3"/>
                <w:kern w:val="2"/>
                <w:sz w:val="21"/>
                <w:highlight w:val="none"/>
                <w:lang w:eastAsia="zh-CN"/>
              </w:rPr>
              <w:t>算</w:t>
            </w:r>
            <w:r>
              <w:rPr>
                <w:rFonts w:hint="eastAsia" w:ascii="宋体" w:hAnsi="宋体" w:eastAsia="宋体" w:cs="宋体"/>
                <w:color w:val="auto"/>
                <w:kern w:val="2"/>
                <w:sz w:val="21"/>
                <w:highlight w:val="none"/>
                <w:lang w:eastAsia="zh-CN"/>
              </w:rPr>
              <w:t>的</w:t>
            </w:r>
            <w:r>
              <w:rPr>
                <w:rFonts w:hint="eastAsia" w:ascii="宋体" w:hAnsi="宋体" w:eastAsia="宋体" w:cs="宋体"/>
                <w:color w:val="auto"/>
                <w:spacing w:val="-3"/>
                <w:kern w:val="2"/>
                <w:sz w:val="21"/>
                <w:highlight w:val="none"/>
                <w:lang w:eastAsia="zh-CN"/>
              </w:rPr>
              <w:t>有</w:t>
            </w:r>
            <w:r>
              <w:rPr>
                <w:rFonts w:hint="eastAsia" w:ascii="宋体" w:hAnsi="宋体" w:eastAsia="宋体" w:cs="宋体"/>
                <w:color w:val="auto"/>
                <w:kern w:val="2"/>
                <w:sz w:val="21"/>
                <w:highlight w:val="none"/>
                <w:lang w:eastAsia="zh-CN"/>
              </w:rPr>
              <w:t>效</w:t>
            </w:r>
            <w:r>
              <w:rPr>
                <w:rFonts w:hint="eastAsia" w:ascii="宋体" w:hAnsi="宋体" w:eastAsia="宋体" w:cs="宋体"/>
                <w:color w:val="auto"/>
                <w:spacing w:val="-3"/>
                <w:kern w:val="2"/>
                <w:sz w:val="21"/>
                <w:highlight w:val="none"/>
                <w:lang w:eastAsia="zh-CN"/>
              </w:rPr>
              <w:t>投</w:t>
            </w:r>
            <w:r>
              <w:rPr>
                <w:rFonts w:hint="eastAsia" w:ascii="宋体" w:hAnsi="宋体" w:eastAsia="宋体" w:cs="宋体"/>
                <w:color w:val="auto"/>
                <w:kern w:val="2"/>
                <w:sz w:val="21"/>
                <w:highlight w:val="none"/>
                <w:lang w:eastAsia="zh-CN"/>
              </w:rPr>
              <w:t>标</w:t>
            </w:r>
            <w:r>
              <w:rPr>
                <w:rFonts w:hint="eastAsia" w:ascii="宋体" w:hAnsi="宋体" w:eastAsia="宋体" w:cs="宋体"/>
                <w:color w:val="auto"/>
                <w:spacing w:val="-3"/>
                <w:kern w:val="2"/>
                <w:sz w:val="21"/>
                <w:highlight w:val="none"/>
                <w:lang w:eastAsia="zh-CN"/>
              </w:rPr>
              <w:t>人</w:t>
            </w:r>
            <w:r>
              <w:rPr>
                <w:rFonts w:hint="eastAsia" w:ascii="宋体" w:hAnsi="宋体" w:eastAsia="宋体" w:cs="宋体"/>
                <w:color w:val="auto"/>
                <w:kern w:val="2"/>
                <w:sz w:val="21"/>
                <w:highlight w:val="none"/>
                <w:lang w:eastAsia="zh-CN"/>
              </w:rPr>
              <w:t>少于5家</w:t>
            </w:r>
            <w:r>
              <w:rPr>
                <w:rFonts w:hint="eastAsia" w:ascii="宋体" w:hAnsi="宋体" w:eastAsia="宋体" w:cs="宋体"/>
                <w:color w:val="auto"/>
                <w:spacing w:val="-3"/>
                <w:kern w:val="2"/>
                <w:sz w:val="21"/>
                <w:highlight w:val="none"/>
                <w:lang w:eastAsia="zh-CN"/>
              </w:rPr>
              <w:t>时</w:t>
            </w:r>
            <w:r>
              <w:rPr>
                <w:rFonts w:hint="eastAsia" w:ascii="宋体" w:hAnsi="宋体" w:eastAsia="宋体" w:cs="宋体"/>
                <w:color w:val="auto"/>
                <w:spacing w:val="-106"/>
                <w:kern w:val="2"/>
                <w:sz w:val="21"/>
                <w:highlight w:val="none"/>
                <w:lang w:eastAsia="zh-CN"/>
              </w:rPr>
              <w:t>，</w:t>
            </w:r>
            <w:r>
              <w:rPr>
                <w:rFonts w:hint="eastAsia" w:ascii="宋体" w:hAnsi="宋体" w:eastAsia="宋体" w:cs="宋体"/>
                <w:color w:val="auto"/>
                <w:kern w:val="2"/>
                <w:sz w:val="21"/>
                <w:highlight w:val="none"/>
                <w:lang w:eastAsia="zh-CN"/>
              </w:rPr>
              <w:t>则</w:t>
            </w:r>
            <w:r>
              <w:rPr>
                <w:rFonts w:hint="eastAsia" w:ascii="宋体" w:hAnsi="宋体" w:eastAsia="宋体" w:cs="宋体"/>
                <w:color w:val="auto"/>
                <w:spacing w:val="-3"/>
                <w:kern w:val="2"/>
                <w:sz w:val="21"/>
                <w:highlight w:val="none"/>
                <w:lang w:eastAsia="zh-CN"/>
              </w:rPr>
              <w:t>计</w:t>
            </w:r>
            <w:r>
              <w:rPr>
                <w:rFonts w:hint="eastAsia" w:ascii="宋体" w:hAnsi="宋体" w:eastAsia="宋体" w:cs="宋体"/>
                <w:color w:val="auto"/>
                <w:kern w:val="2"/>
                <w:sz w:val="21"/>
                <w:highlight w:val="none"/>
                <w:lang w:eastAsia="zh-CN"/>
              </w:rPr>
              <w:t>算</w:t>
            </w:r>
            <w:r>
              <w:rPr>
                <w:rFonts w:hint="eastAsia" w:ascii="宋体" w:hAnsi="宋体" w:eastAsia="宋体" w:cs="宋体"/>
                <w:color w:val="auto"/>
                <w:spacing w:val="-3"/>
                <w:kern w:val="2"/>
                <w:sz w:val="21"/>
                <w:highlight w:val="none"/>
                <w:lang w:eastAsia="zh-CN"/>
              </w:rPr>
              <w:t>评</w:t>
            </w:r>
            <w:r>
              <w:rPr>
                <w:rFonts w:hint="eastAsia" w:ascii="宋体" w:hAnsi="宋体" w:eastAsia="宋体" w:cs="宋体"/>
                <w:color w:val="auto"/>
                <w:kern w:val="2"/>
                <w:sz w:val="21"/>
                <w:highlight w:val="none"/>
                <w:lang w:eastAsia="zh-CN"/>
              </w:rPr>
              <w:t>标</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平均</w:t>
            </w:r>
            <w:r>
              <w:rPr>
                <w:rFonts w:hint="eastAsia" w:ascii="宋体" w:hAnsi="宋体" w:eastAsia="宋体" w:cs="宋体"/>
                <w:color w:val="auto"/>
                <w:spacing w:val="-3"/>
                <w:kern w:val="2"/>
                <w:sz w:val="21"/>
                <w:highlight w:val="none"/>
                <w:lang w:eastAsia="zh-CN"/>
              </w:rPr>
              <w:t>值</w:t>
            </w:r>
            <w:r>
              <w:rPr>
                <w:rFonts w:hint="eastAsia" w:ascii="宋体" w:hAnsi="宋体" w:eastAsia="宋体" w:cs="宋体"/>
                <w:color w:val="auto"/>
                <w:kern w:val="2"/>
                <w:sz w:val="21"/>
                <w:highlight w:val="none"/>
                <w:lang w:eastAsia="zh-CN"/>
              </w:rPr>
              <w:t>时</w:t>
            </w:r>
            <w:r>
              <w:rPr>
                <w:rFonts w:hint="eastAsia" w:ascii="宋体" w:hAnsi="宋体" w:eastAsia="宋体" w:cs="宋体"/>
                <w:color w:val="auto"/>
                <w:spacing w:val="-3"/>
                <w:kern w:val="2"/>
                <w:sz w:val="21"/>
                <w:highlight w:val="none"/>
                <w:lang w:eastAsia="zh-CN"/>
              </w:rPr>
              <w:t>不</w:t>
            </w:r>
            <w:r>
              <w:rPr>
                <w:rFonts w:hint="eastAsia" w:ascii="宋体" w:hAnsi="宋体" w:eastAsia="宋体" w:cs="宋体"/>
                <w:color w:val="auto"/>
                <w:kern w:val="2"/>
                <w:sz w:val="21"/>
                <w:highlight w:val="none"/>
                <w:lang w:eastAsia="zh-CN"/>
              </w:rPr>
              <w:t>去</w:t>
            </w:r>
            <w:r>
              <w:rPr>
                <w:rFonts w:hint="eastAsia" w:ascii="宋体" w:hAnsi="宋体" w:eastAsia="宋体" w:cs="宋体"/>
                <w:color w:val="auto"/>
                <w:spacing w:val="-3"/>
                <w:kern w:val="2"/>
                <w:sz w:val="21"/>
                <w:highlight w:val="none"/>
                <w:lang w:eastAsia="zh-CN"/>
              </w:rPr>
              <w:t>掉最</w:t>
            </w:r>
            <w:r>
              <w:rPr>
                <w:rFonts w:hint="eastAsia" w:ascii="宋体" w:hAnsi="宋体" w:eastAsia="宋体" w:cs="宋体"/>
                <w:color w:val="auto"/>
                <w:kern w:val="2"/>
                <w:sz w:val="21"/>
                <w:highlight w:val="none"/>
                <w:lang w:eastAsia="zh-CN"/>
              </w:rPr>
              <w:t>高值</w:t>
            </w:r>
            <w:r>
              <w:rPr>
                <w:rFonts w:hint="eastAsia" w:ascii="宋体" w:hAnsi="宋体" w:eastAsia="宋体" w:cs="宋体"/>
                <w:color w:val="auto"/>
                <w:spacing w:val="-3"/>
                <w:kern w:val="2"/>
                <w:sz w:val="21"/>
                <w:highlight w:val="none"/>
                <w:lang w:eastAsia="zh-CN"/>
              </w:rPr>
              <w:t>和</w:t>
            </w:r>
            <w:r>
              <w:rPr>
                <w:rFonts w:hint="eastAsia" w:ascii="宋体" w:hAnsi="宋体" w:eastAsia="宋体" w:cs="宋体"/>
                <w:color w:val="auto"/>
                <w:kern w:val="2"/>
                <w:sz w:val="21"/>
                <w:highlight w:val="none"/>
                <w:lang w:eastAsia="zh-CN"/>
              </w:rPr>
              <w:t>最</w:t>
            </w:r>
            <w:r>
              <w:rPr>
                <w:rFonts w:hint="eastAsia" w:ascii="宋体" w:hAnsi="宋体" w:eastAsia="宋体" w:cs="宋体"/>
                <w:color w:val="auto"/>
                <w:spacing w:val="-3"/>
                <w:kern w:val="2"/>
                <w:sz w:val="21"/>
                <w:highlight w:val="none"/>
                <w:lang w:eastAsia="zh-CN"/>
              </w:rPr>
              <w:t>低</w:t>
            </w:r>
            <w:r>
              <w:rPr>
                <w:rFonts w:hint="eastAsia" w:ascii="宋体" w:hAnsi="宋体" w:eastAsia="宋体" w:cs="宋体"/>
                <w:color w:val="auto"/>
                <w:kern w:val="2"/>
                <w:sz w:val="21"/>
                <w:highlight w:val="none"/>
                <w:lang w:eastAsia="zh-CN"/>
              </w:rPr>
              <w:t>值</w:t>
            </w:r>
            <w:r>
              <w:rPr>
                <w:rFonts w:hint="eastAsia" w:ascii="宋体" w:hAnsi="宋体" w:eastAsia="宋体" w:cs="宋体"/>
                <w:color w:val="auto"/>
                <w:spacing w:val="-108"/>
                <w:kern w:val="2"/>
                <w:sz w:val="21"/>
                <w:highlight w:val="none"/>
                <w:lang w:eastAsia="zh-CN"/>
              </w:rPr>
              <w:t>）</w:t>
            </w:r>
            <w:r>
              <w:rPr>
                <w:rFonts w:hint="eastAsia" w:ascii="宋体" w:hAnsi="宋体" w:eastAsia="宋体" w:cs="宋体"/>
                <w:color w:val="auto"/>
                <w:kern w:val="2"/>
                <w:sz w:val="21"/>
                <w:highlight w:val="none"/>
                <w:lang w:eastAsia="zh-CN"/>
              </w:rPr>
              <w:t>。</w:t>
            </w:r>
          </w:p>
          <w:p>
            <w:pPr>
              <w:pStyle w:val="6"/>
              <w:kinsoku w:val="0"/>
              <w:overflowPunct w:val="0"/>
              <w:spacing w:before="14" w:line="276" w:lineRule="auto"/>
              <w:rPr>
                <w:rFonts w:hint="eastAsia" w:ascii="宋体" w:hAnsi="宋体" w:eastAsia="宋体" w:cs="宋体"/>
                <w:color w:val="auto"/>
                <w:kern w:val="2"/>
                <w:sz w:val="21"/>
                <w:highlight w:val="none"/>
                <w:lang w:eastAsia="zh-CN"/>
              </w:rPr>
            </w:pPr>
            <w:r>
              <w:rPr>
                <w:rFonts w:hint="eastAsia" w:ascii="宋体" w:hAnsi="宋体" w:eastAsia="宋体" w:cs="宋体"/>
                <w:color w:val="auto"/>
                <w:kern w:val="2"/>
                <w:sz w:val="21"/>
                <w:highlight w:val="none"/>
                <w:lang w:eastAsia="zh-CN"/>
              </w:rPr>
              <w:t>②参</w:t>
            </w:r>
            <w:r>
              <w:rPr>
                <w:rFonts w:hint="eastAsia" w:ascii="宋体" w:hAnsi="宋体" w:eastAsia="宋体" w:cs="宋体"/>
                <w:color w:val="auto"/>
                <w:spacing w:val="-3"/>
                <w:kern w:val="2"/>
                <w:sz w:val="21"/>
                <w:highlight w:val="none"/>
                <w:lang w:eastAsia="zh-CN"/>
              </w:rPr>
              <w:t>与</w:t>
            </w:r>
            <w:r>
              <w:rPr>
                <w:rFonts w:hint="eastAsia" w:ascii="宋体" w:hAnsi="宋体" w:eastAsia="宋体" w:cs="宋体"/>
                <w:color w:val="auto"/>
                <w:kern w:val="2"/>
                <w:sz w:val="21"/>
                <w:highlight w:val="none"/>
                <w:lang w:eastAsia="zh-CN"/>
              </w:rPr>
              <w:t>评</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价</w:t>
            </w:r>
            <w:r>
              <w:rPr>
                <w:rFonts w:hint="eastAsia" w:ascii="宋体" w:hAnsi="宋体" w:eastAsia="宋体" w:cs="宋体"/>
                <w:color w:val="auto"/>
                <w:spacing w:val="-3"/>
                <w:kern w:val="2"/>
                <w:sz w:val="21"/>
                <w:highlight w:val="none"/>
                <w:lang w:eastAsia="zh-CN"/>
              </w:rPr>
              <w:t>平</w:t>
            </w:r>
            <w:r>
              <w:rPr>
                <w:rFonts w:hint="eastAsia" w:ascii="宋体" w:hAnsi="宋体" w:eastAsia="宋体" w:cs="宋体"/>
                <w:color w:val="auto"/>
                <w:kern w:val="2"/>
                <w:sz w:val="21"/>
                <w:highlight w:val="none"/>
                <w:lang w:eastAsia="zh-CN"/>
              </w:rPr>
              <w:t>均</w:t>
            </w:r>
            <w:r>
              <w:rPr>
                <w:rFonts w:hint="eastAsia" w:ascii="宋体" w:hAnsi="宋体" w:eastAsia="宋体" w:cs="宋体"/>
                <w:color w:val="auto"/>
                <w:spacing w:val="-3"/>
                <w:kern w:val="2"/>
                <w:sz w:val="21"/>
                <w:highlight w:val="none"/>
                <w:lang w:eastAsia="zh-CN"/>
              </w:rPr>
              <w:t>值</w:t>
            </w:r>
            <w:r>
              <w:rPr>
                <w:rFonts w:hint="eastAsia" w:ascii="宋体" w:hAnsi="宋体" w:eastAsia="宋体" w:cs="宋体"/>
                <w:color w:val="auto"/>
                <w:kern w:val="2"/>
                <w:sz w:val="21"/>
                <w:highlight w:val="none"/>
                <w:lang w:eastAsia="zh-CN"/>
              </w:rPr>
              <w:t>计</w:t>
            </w:r>
            <w:r>
              <w:rPr>
                <w:rFonts w:hint="eastAsia" w:ascii="宋体" w:hAnsi="宋体" w:eastAsia="宋体" w:cs="宋体"/>
                <w:color w:val="auto"/>
                <w:spacing w:val="-3"/>
                <w:kern w:val="2"/>
                <w:sz w:val="21"/>
                <w:highlight w:val="none"/>
                <w:lang w:eastAsia="zh-CN"/>
              </w:rPr>
              <w:t>算</w:t>
            </w:r>
            <w:r>
              <w:rPr>
                <w:rFonts w:hint="eastAsia" w:ascii="宋体" w:hAnsi="宋体" w:eastAsia="宋体" w:cs="宋体"/>
                <w:color w:val="auto"/>
                <w:kern w:val="2"/>
                <w:sz w:val="21"/>
                <w:highlight w:val="none"/>
                <w:lang w:eastAsia="zh-CN"/>
              </w:rPr>
              <w:t>的评</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价</w:t>
            </w:r>
            <w:r>
              <w:rPr>
                <w:rFonts w:hint="eastAsia" w:ascii="宋体" w:hAnsi="宋体" w:eastAsia="宋体" w:cs="宋体"/>
                <w:color w:val="auto"/>
                <w:spacing w:val="-3"/>
                <w:kern w:val="2"/>
                <w:sz w:val="21"/>
                <w:highlight w:val="none"/>
                <w:lang w:eastAsia="zh-CN"/>
              </w:rPr>
              <w:t>的</w:t>
            </w:r>
            <w:r>
              <w:rPr>
                <w:rFonts w:hint="eastAsia" w:ascii="宋体" w:hAnsi="宋体" w:eastAsia="宋体" w:cs="宋体"/>
                <w:color w:val="auto"/>
                <w:kern w:val="2"/>
                <w:sz w:val="21"/>
                <w:highlight w:val="none"/>
                <w:lang w:eastAsia="zh-CN"/>
              </w:rPr>
              <w:t>范</w:t>
            </w:r>
            <w:r>
              <w:rPr>
                <w:rFonts w:hint="eastAsia" w:ascii="宋体" w:hAnsi="宋体" w:eastAsia="宋体" w:cs="宋体"/>
                <w:color w:val="auto"/>
                <w:spacing w:val="-3"/>
                <w:kern w:val="2"/>
                <w:sz w:val="21"/>
                <w:highlight w:val="none"/>
                <w:lang w:eastAsia="zh-CN"/>
              </w:rPr>
              <w:t>围</w:t>
            </w:r>
            <w:r>
              <w:rPr>
                <w:rFonts w:hint="eastAsia" w:ascii="宋体" w:hAnsi="宋体" w:eastAsia="宋体" w:cs="宋体"/>
                <w:color w:val="auto"/>
                <w:spacing w:val="-53"/>
                <w:kern w:val="2"/>
                <w:sz w:val="21"/>
                <w:highlight w:val="none"/>
                <w:lang w:eastAsia="zh-CN"/>
              </w:rPr>
              <w:t>：</w:t>
            </w:r>
            <w:r>
              <w:rPr>
                <w:rFonts w:hint="eastAsia" w:ascii="宋体" w:hAnsi="宋体" w:eastAsia="宋体" w:cs="宋体"/>
                <w:color w:val="auto"/>
                <w:kern w:val="2"/>
                <w:sz w:val="21"/>
                <w:highlight w:val="none"/>
                <w:lang w:eastAsia="zh-CN"/>
              </w:rPr>
              <w:t>最</w:t>
            </w:r>
            <w:r>
              <w:rPr>
                <w:rFonts w:hint="eastAsia" w:ascii="宋体" w:hAnsi="宋体" w:eastAsia="宋体" w:cs="宋体"/>
                <w:color w:val="auto"/>
                <w:spacing w:val="-3"/>
                <w:kern w:val="2"/>
                <w:sz w:val="21"/>
                <w:highlight w:val="none"/>
                <w:lang w:eastAsia="zh-CN"/>
              </w:rPr>
              <w:t>高投</w:t>
            </w:r>
            <w:r>
              <w:rPr>
                <w:rFonts w:hint="eastAsia" w:ascii="宋体" w:hAnsi="宋体" w:eastAsia="宋体" w:cs="宋体"/>
                <w:color w:val="auto"/>
                <w:kern w:val="2"/>
                <w:sz w:val="21"/>
                <w:highlight w:val="none"/>
                <w:lang w:eastAsia="zh-CN"/>
              </w:rPr>
              <w:t>标限</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的</w:t>
            </w:r>
            <w:r>
              <w:rPr>
                <w:rFonts w:hint="eastAsia" w:ascii="宋体" w:hAnsi="宋体" w:eastAsia="宋体" w:cs="宋体"/>
                <w:color w:val="auto"/>
                <w:spacing w:val="-3"/>
                <w:kern w:val="2"/>
                <w:sz w:val="21"/>
                <w:highlight w:val="none"/>
                <w:lang w:eastAsia="zh-CN"/>
              </w:rPr>
              <w:t>85</w:t>
            </w:r>
            <w:r>
              <w:rPr>
                <w:rFonts w:hint="eastAsia" w:ascii="宋体" w:hAnsi="宋体" w:eastAsia="宋体" w:cs="宋体"/>
                <w:color w:val="auto"/>
                <w:kern w:val="2"/>
                <w:sz w:val="21"/>
                <w:highlight w:val="none"/>
                <w:lang w:eastAsia="zh-CN"/>
              </w:rPr>
              <w:t>%≤</w:t>
            </w:r>
            <w:r>
              <w:rPr>
                <w:rFonts w:hint="eastAsia" w:ascii="宋体" w:hAnsi="宋体" w:eastAsia="宋体" w:cs="宋体"/>
                <w:color w:val="auto"/>
                <w:spacing w:val="-2"/>
                <w:kern w:val="2"/>
                <w:sz w:val="21"/>
                <w:highlight w:val="none"/>
                <w:lang w:eastAsia="zh-CN"/>
              </w:rPr>
              <w:t>参与评标价平均值计算的评标价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2"/>
                <w:kern w:val="2"/>
                <w:sz w:val="21"/>
                <w:highlight w:val="none"/>
                <w:lang w:eastAsia="zh-CN"/>
              </w:rPr>
              <w:t>最高投标限价的</w:t>
            </w:r>
            <w:r>
              <w:rPr>
                <w:rFonts w:hint="eastAsia" w:ascii="宋体" w:hAnsi="宋体" w:eastAsia="宋体" w:cs="宋体"/>
                <w:color w:val="auto"/>
                <w:kern w:val="2"/>
                <w:sz w:val="21"/>
                <w:highlight w:val="none"/>
                <w:lang w:eastAsia="zh-CN"/>
              </w:rPr>
              <w:t>100%；</w:t>
            </w:r>
          </w:p>
          <w:p>
            <w:pPr>
              <w:pStyle w:val="6"/>
              <w:kinsoku w:val="0"/>
              <w:overflowPunct w:val="0"/>
              <w:spacing w:before="14" w:line="276" w:lineRule="auto"/>
              <w:rPr>
                <w:rFonts w:hint="eastAsia" w:ascii="宋体" w:hAnsi="宋体" w:eastAsia="宋体" w:cs="宋体"/>
                <w:color w:val="auto"/>
                <w:spacing w:val="-2"/>
                <w:kern w:val="2"/>
                <w:sz w:val="21"/>
                <w:highlight w:val="none"/>
                <w:lang w:eastAsia="zh-CN"/>
              </w:rPr>
            </w:pPr>
            <w:r>
              <w:rPr>
                <w:rFonts w:hint="eastAsia" w:ascii="宋体" w:hAnsi="宋体" w:eastAsia="宋体" w:cs="宋体"/>
                <w:color w:val="auto"/>
                <w:spacing w:val="-2"/>
                <w:kern w:val="2"/>
                <w:sz w:val="21"/>
                <w:highlight w:val="none"/>
                <w:lang w:eastAsia="zh-CN"/>
              </w:rPr>
              <w:t>③小于最高投标限价的85%的评标价不参与评标价平均值的计算，</w:t>
            </w:r>
            <w:r>
              <w:rPr>
                <w:rFonts w:hint="eastAsia" w:ascii="宋体" w:hAnsi="宋体" w:eastAsia="宋体" w:cs="宋体"/>
                <w:color w:val="auto"/>
                <w:kern w:val="2"/>
                <w:sz w:val="21"/>
                <w:highlight w:val="none"/>
                <w:lang w:eastAsia="zh-CN"/>
              </w:rPr>
              <w:t>但仍</w:t>
            </w:r>
            <w:r>
              <w:rPr>
                <w:rFonts w:hint="eastAsia" w:ascii="宋体" w:hAnsi="宋体" w:eastAsia="宋体" w:cs="宋体"/>
                <w:color w:val="auto"/>
                <w:spacing w:val="-3"/>
                <w:kern w:val="2"/>
                <w:sz w:val="21"/>
                <w:highlight w:val="none"/>
                <w:lang w:eastAsia="zh-CN"/>
              </w:rPr>
              <w:t>参</w:t>
            </w:r>
            <w:r>
              <w:rPr>
                <w:rFonts w:hint="eastAsia" w:ascii="宋体" w:hAnsi="宋体" w:eastAsia="宋体" w:cs="宋体"/>
                <w:color w:val="auto"/>
                <w:kern w:val="2"/>
                <w:sz w:val="21"/>
                <w:highlight w:val="none"/>
                <w:lang w:eastAsia="zh-CN"/>
              </w:rPr>
              <w:t>与</w:t>
            </w:r>
            <w:r>
              <w:rPr>
                <w:rFonts w:hint="eastAsia" w:ascii="宋体" w:hAnsi="宋体" w:eastAsia="宋体" w:cs="宋体"/>
                <w:color w:val="auto"/>
                <w:spacing w:val="-3"/>
                <w:kern w:val="2"/>
                <w:sz w:val="21"/>
                <w:highlight w:val="none"/>
                <w:lang w:eastAsia="zh-CN"/>
              </w:rPr>
              <w:t>评</w:t>
            </w:r>
            <w:r>
              <w:rPr>
                <w:rFonts w:hint="eastAsia" w:ascii="宋体" w:hAnsi="宋体" w:eastAsia="宋体" w:cs="宋体"/>
                <w:color w:val="auto"/>
                <w:kern w:val="2"/>
                <w:sz w:val="21"/>
                <w:highlight w:val="none"/>
                <w:lang w:eastAsia="zh-CN"/>
              </w:rPr>
              <w:t>标</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的</w:t>
            </w:r>
            <w:r>
              <w:rPr>
                <w:rFonts w:hint="eastAsia" w:ascii="宋体" w:hAnsi="宋体" w:eastAsia="宋体" w:cs="宋体"/>
                <w:color w:val="auto"/>
                <w:spacing w:val="-3"/>
                <w:kern w:val="2"/>
                <w:sz w:val="21"/>
                <w:highlight w:val="none"/>
                <w:lang w:eastAsia="zh-CN"/>
              </w:rPr>
              <w:t>得</w:t>
            </w:r>
            <w:r>
              <w:rPr>
                <w:rFonts w:hint="eastAsia" w:ascii="宋体" w:hAnsi="宋体" w:eastAsia="宋体" w:cs="宋体"/>
                <w:color w:val="auto"/>
                <w:kern w:val="2"/>
                <w:sz w:val="21"/>
                <w:highlight w:val="none"/>
                <w:lang w:eastAsia="zh-CN"/>
              </w:rPr>
              <w:t>分</w:t>
            </w:r>
            <w:r>
              <w:rPr>
                <w:rFonts w:hint="eastAsia" w:ascii="宋体" w:hAnsi="宋体" w:eastAsia="宋体" w:cs="宋体"/>
                <w:color w:val="auto"/>
                <w:spacing w:val="-3"/>
                <w:kern w:val="2"/>
                <w:sz w:val="21"/>
                <w:highlight w:val="none"/>
                <w:lang w:eastAsia="zh-CN"/>
              </w:rPr>
              <w:t>计</w:t>
            </w:r>
            <w:r>
              <w:rPr>
                <w:rFonts w:hint="eastAsia" w:ascii="宋体" w:hAnsi="宋体" w:eastAsia="宋体" w:cs="宋体"/>
                <w:color w:val="auto"/>
                <w:kern w:val="2"/>
                <w:sz w:val="21"/>
                <w:highlight w:val="none"/>
                <w:lang w:eastAsia="zh-CN"/>
              </w:rPr>
              <w:t>算</w:t>
            </w:r>
            <w:r>
              <w:rPr>
                <w:rFonts w:hint="eastAsia" w:ascii="宋体" w:hAnsi="宋体" w:eastAsia="宋体" w:cs="宋体"/>
                <w:color w:val="auto"/>
                <w:spacing w:val="-106"/>
                <w:kern w:val="2"/>
                <w:sz w:val="21"/>
                <w:highlight w:val="none"/>
                <w:lang w:eastAsia="zh-CN"/>
              </w:rPr>
              <w:t>。</w:t>
            </w:r>
            <w:r>
              <w:rPr>
                <w:rFonts w:hint="eastAsia" w:ascii="宋体" w:hAnsi="宋体" w:eastAsia="宋体" w:cs="宋体"/>
                <w:color w:val="auto"/>
                <w:kern w:val="2"/>
                <w:sz w:val="21"/>
                <w:highlight w:val="none"/>
                <w:lang w:eastAsia="zh-CN"/>
              </w:rPr>
              <w:t>若</w:t>
            </w:r>
            <w:r>
              <w:rPr>
                <w:rFonts w:hint="eastAsia" w:ascii="宋体" w:hAnsi="宋体" w:eastAsia="宋体" w:cs="宋体"/>
                <w:color w:val="auto"/>
                <w:spacing w:val="-3"/>
                <w:kern w:val="2"/>
                <w:sz w:val="21"/>
                <w:highlight w:val="none"/>
                <w:lang w:eastAsia="zh-CN"/>
              </w:rPr>
              <w:t>投</w:t>
            </w:r>
            <w:r>
              <w:rPr>
                <w:rFonts w:hint="eastAsia" w:ascii="宋体" w:hAnsi="宋体" w:eastAsia="宋体" w:cs="宋体"/>
                <w:color w:val="auto"/>
                <w:kern w:val="2"/>
                <w:sz w:val="21"/>
                <w:highlight w:val="none"/>
                <w:lang w:eastAsia="zh-CN"/>
              </w:rPr>
              <w:t>标</w:t>
            </w:r>
            <w:r>
              <w:rPr>
                <w:rFonts w:hint="eastAsia" w:ascii="宋体" w:hAnsi="宋体" w:eastAsia="宋体" w:cs="宋体"/>
                <w:color w:val="auto"/>
                <w:spacing w:val="-3"/>
                <w:kern w:val="2"/>
                <w:sz w:val="21"/>
                <w:highlight w:val="none"/>
                <w:lang w:eastAsia="zh-CN"/>
              </w:rPr>
              <w:t>人</w:t>
            </w:r>
            <w:r>
              <w:rPr>
                <w:rFonts w:hint="eastAsia" w:ascii="宋体" w:hAnsi="宋体" w:eastAsia="宋体" w:cs="宋体"/>
                <w:color w:val="auto"/>
                <w:kern w:val="2"/>
                <w:sz w:val="21"/>
                <w:highlight w:val="none"/>
                <w:lang w:eastAsia="zh-CN"/>
              </w:rPr>
              <w:t>的</w:t>
            </w:r>
            <w:r>
              <w:rPr>
                <w:rFonts w:hint="eastAsia" w:ascii="宋体" w:hAnsi="宋体" w:eastAsia="宋体" w:cs="宋体"/>
                <w:color w:val="auto"/>
                <w:spacing w:val="-3"/>
                <w:kern w:val="2"/>
                <w:sz w:val="21"/>
                <w:highlight w:val="none"/>
                <w:lang w:eastAsia="zh-CN"/>
              </w:rPr>
              <w:t>评</w:t>
            </w:r>
            <w:r>
              <w:rPr>
                <w:rFonts w:hint="eastAsia" w:ascii="宋体" w:hAnsi="宋体" w:eastAsia="宋体" w:cs="宋体"/>
                <w:color w:val="auto"/>
                <w:kern w:val="2"/>
                <w:sz w:val="21"/>
                <w:highlight w:val="none"/>
                <w:lang w:eastAsia="zh-CN"/>
              </w:rPr>
              <w:t>标</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均</w:t>
            </w:r>
            <w:r>
              <w:rPr>
                <w:rFonts w:hint="eastAsia" w:ascii="宋体" w:hAnsi="宋体" w:eastAsia="宋体" w:cs="宋体"/>
                <w:color w:val="auto"/>
                <w:spacing w:val="-3"/>
                <w:kern w:val="2"/>
                <w:sz w:val="21"/>
                <w:highlight w:val="none"/>
                <w:lang w:eastAsia="zh-CN"/>
              </w:rPr>
              <w:t>小</w:t>
            </w:r>
            <w:r>
              <w:rPr>
                <w:rFonts w:hint="eastAsia" w:ascii="宋体" w:hAnsi="宋体" w:eastAsia="宋体" w:cs="宋体"/>
                <w:color w:val="auto"/>
                <w:kern w:val="2"/>
                <w:sz w:val="21"/>
                <w:highlight w:val="none"/>
                <w:lang w:eastAsia="zh-CN"/>
              </w:rPr>
              <w:t>于最</w:t>
            </w:r>
            <w:r>
              <w:rPr>
                <w:rFonts w:hint="eastAsia" w:ascii="宋体" w:hAnsi="宋体" w:eastAsia="宋体" w:cs="宋体"/>
                <w:color w:val="auto"/>
                <w:spacing w:val="-3"/>
                <w:kern w:val="2"/>
                <w:sz w:val="21"/>
                <w:highlight w:val="none"/>
                <w:lang w:eastAsia="zh-CN"/>
              </w:rPr>
              <w:t>高</w:t>
            </w:r>
            <w:r>
              <w:rPr>
                <w:rFonts w:hint="eastAsia" w:ascii="宋体" w:hAnsi="宋体" w:eastAsia="宋体" w:cs="宋体"/>
                <w:color w:val="auto"/>
                <w:kern w:val="2"/>
                <w:sz w:val="21"/>
                <w:highlight w:val="none"/>
                <w:lang w:eastAsia="zh-CN"/>
              </w:rPr>
              <w:t>投</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限</w:t>
            </w:r>
            <w:r>
              <w:rPr>
                <w:rFonts w:hint="eastAsia" w:ascii="宋体" w:hAnsi="宋体" w:eastAsia="宋体" w:cs="宋体"/>
                <w:color w:val="auto"/>
                <w:spacing w:val="-3"/>
                <w:kern w:val="2"/>
                <w:sz w:val="21"/>
                <w:highlight w:val="none"/>
                <w:lang w:eastAsia="zh-CN"/>
              </w:rPr>
              <w:t>价</w:t>
            </w:r>
            <w:r>
              <w:rPr>
                <w:rFonts w:hint="eastAsia" w:ascii="宋体" w:hAnsi="宋体" w:eastAsia="宋体" w:cs="宋体"/>
                <w:color w:val="auto"/>
                <w:kern w:val="2"/>
                <w:sz w:val="21"/>
                <w:highlight w:val="none"/>
                <w:lang w:eastAsia="zh-CN"/>
              </w:rPr>
              <w:t>的</w:t>
            </w:r>
            <w:r>
              <w:rPr>
                <w:rFonts w:hint="eastAsia" w:ascii="宋体" w:hAnsi="宋体" w:eastAsia="宋体" w:cs="宋体"/>
                <w:color w:val="auto"/>
                <w:spacing w:val="-2"/>
                <w:kern w:val="2"/>
                <w:sz w:val="21"/>
                <w:highlight w:val="none"/>
                <w:lang w:eastAsia="zh-CN"/>
              </w:rPr>
              <w:t>85%时，则以最高投标限价的85%为评标价平均值。</w:t>
            </w:r>
          </w:p>
          <w:p>
            <w:pPr>
              <w:pStyle w:val="6"/>
              <w:kinsoku w:val="0"/>
              <w:overflowPunct w:val="0"/>
              <w:spacing w:before="14" w:line="276" w:lineRule="auto"/>
              <w:rPr>
                <w:rFonts w:hint="eastAsia" w:ascii="宋体" w:hAnsi="宋体" w:eastAsia="宋体" w:cs="宋体"/>
                <w:color w:val="auto"/>
                <w:spacing w:val="-3"/>
                <w:kern w:val="2"/>
                <w:sz w:val="21"/>
                <w:highlight w:val="none"/>
                <w:lang w:eastAsia="zh-CN"/>
              </w:rPr>
            </w:pPr>
            <w:r>
              <w:rPr>
                <w:rFonts w:hint="eastAsia" w:ascii="宋体" w:hAnsi="宋体" w:eastAsia="宋体" w:cs="宋体"/>
                <w:color w:val="auto"/>
                <w:kern w:val="2"/>
                <w:sz w:val="21"/>
                <w:highlight w:val="none"/>
                <w:lang w:eastAsia="zh-CN"/>
              </w:rPr>
              <w:t>（3</w:t>
            </w:r>
            <w:r>
              <w:rPr>
                <w:rFonts w:hint="eastAsia" w:ascii="宋体" w:hAnsi="宋体" w:eastAsia="宋体" w:cs="宋体"/>
                <w:color w:val="auto"/>
                <w:spacing w:val="-3"/>
                <w:kern w:val="2"/>
                <w:sz w:val="21"/>
                <w:highlight w:val="none"/>
                <w:lang w:eastAsia="zh-CN"/>
              </w:rPr>
              <w:t>）</w:t>
            </w:r>
            <w:r>
              <w:rPr>
                <w:rFonts w:hint="eastAsia" w:ascii="宋体" w:hAnsi="宋体" w:eastAsia="宋体" w:cs="宋体"/>
                <w:color w:val="auto"/>
                <w:kern w:val="2"/>
                <w:sz w:val="21"/>
                <w:highlight w:val="none"/>
                <w:lang w:eastAsia="zh-CN"/>
              </w:rPr>
              <w:t>评</w:t>
            </w:r>
            <w:r>
              <w:rPr>
                <w:rFonts w:hint="eastAsia" w:ascii="宋体" w:hAnsi="宋体" w:eastAsia="宋体" w:cs="宋体"/>
                <w:color w:val="auto"/>
                <w:spacing w:val="-3"/>
                <w:kern w:val="2"/>
                <w:sz w:val="21"/>
                <w:highlight w:val="none"/>
                <w:lang w:eastAsia="zh-CN"/>
              </w:rPr>
              <w:t>标</w:t>
            </w:r>
            <w:r>
              <w:rPr>
                <w:rFonts w:hint="eastAsia" w:ascii="宋体" w:hAnsi="宋体" w:eastAsia="宋体" w:cs="宋体"/>
                <w:color w:val="auto"/>
                <w:kern w:val="2"/>
                <w:sz w:val="21"/>
                <w:highlight w:val="none"/>
                <w:lang w:eastAsia="zh-CN"/>
              </w:rPr>
              <w:t>基</w:t>
            </w:r>
            <w:r>
              <w:rPr>
                <w:rFonts w:hint="eastAsia" w:ascii="宋体" w:hAnsi="宋体" w:eastAsia="宋体" w:cs="宋体"/>
                <w:color w:val="auto"/>
                <w:spacing w:val="-3"/>
                <w:kern w:val="2"/>
                <w:sz w:val="21"/>
                <w:highlight w:val="none"/>
                <w:lang w:eastAsia="zh-CN"/>
              </w:rPr>
              <w:t>准</w:t>
            </w:r>
            <w:r>
              <w:rPr>
                <w:rFonts w:hint="eastAsia" w:ascii="宋体" w:hAnsi="宋体" w:eastAsia="宋体" w:cs="宋体"/>
                <w:color w:val="auto"/>
                <w:kern w:val="2"/>
                <w:sz w:val="21"/>
                <w:highlight w:val="none"/>
                <w:lang w:eastAsia="zh-CN"/>
              </w:rPr>
              <w:t>价</w:t>
            </w:r>
            <w:r>
              <w:rPr>
                <w:rFonts w:hint="eastAsia" w:ascii="宋体" w:hAnsi="宋体" w:eastAsia="宋体" w:cs="宋体"/>
                <w:color w:val="auto"/>
                <w:spacing w:val="-3"/>
                <w:kern w:val="2"/>
                <w:sz w:val="21"/>
                <w:highlight w:val="none"/>
                <w:lang w:eastAsia="zh-CN"/>
              </w:rPr>
              <w:t>的</w:t>
            </w:r>
            <w:r>
              <w:rPr>
                <w:rFonts w:hint="eastAsia" w:ascii="宋体" w:hAnsi="宋体" w:eastAsia="宋体" w:cs="宋体"/>
                <w:color w:val="auto"/>
                <w:kern w:val="2"/>
                <w:sz w:val="21"/>
                <w:highlight w:val="none"/>
                <w:lang w:eastAsia="zh-CN"/>
              </w:rPr>
              <w:t>确定</w:t>
            </w:r>
            <w:r>
              <w:rPr>
                <w:rFonts w:hint="eastAsia" w:ascii="宋体" w:hAnsi="宋体" w:eastAsia="宋体" w:cs="宋体"/>
                <w:color w:val="auto"/>
                <w:spacing w:val="-108"/>
                <w:kern w:val="2"/>
                <w:sz w:val="21"/>
                <w:highlight w:val="none"/>
                <w:lang w:eastAsia="zh-CN"/>
              </w:rPr>
              <w:t>：</w:t>
            </w:r>
          </w:p>
          <w:p>
            <w:pPr>
              <w:pStyle w:val="6"/>
              <w:kinsoku w:val="0"/>
              <w:overflowPunct w:val="0"/>
              <w:spacing w:before="14" w:line="276" w:lineRule="auto"/>
              <w:rPr>
                <w:rFonts w:hint="eastAsia" w:ascii="宋体" w:hAnsi="宋体" w:eastAsia="宋体" w:cs="宋体"/>
                <w:color w:val="auto"/>
                <w:spacing w:val="-3"/>
                <w:kern w:val="2"/>
                <w:sz w:val="21"/>
                <w:highlight w:val="none"/>
                <w:lang w:eastAsia="zh-CN"/>
              </w:rPr>
            </w:pPr>
            <w:r>
              <w:rPr>
                <w:rFonts w:hint="eastAsia" w:ascii="宋体" w:hAnsi="宋体" w:eastAsia="宋体" w:cs="宋体"/>
                <w:color w:val="auto"/>
                <w:spacing w:val="-2"/>
                <w:kern w:val="2"/>
                <w:sz w:val="21"/>
                <w:highlight w:val="none"/>
                <w:lang w:eastAsia="zh-CN"/>
              </w:rPr>
              <w:t>将评标价平均值直接作为评标基准价。</w:t>
            </w:r>
          </w:p>
          <w:p>
            <w:pPr>
              <w:pStyle w:val="6"/>
              <w:kinsoku w:val="0"/>
              <w:overflowPunct w:val="0"/>
              <w:spacing w:before="14" w:line="276" w:lineRule="auto"/>
              <w:ind w:firstLine="428" w:firstLineChars="200"/>
              <w:rPr>
                <w:rFonts w:hint="eastAsia" w:ascii="宋体" w:hAnsi="宋体" w:eastAsia="宋体" w:cs="宋体"/>
                <w:color w:val="auto"/>
                <w:spacing w:val="-3"/>
                <w:kern w:val="2"/>
                <w:sz w:val="21"/>
                <w:highlight w:val="none"/>
                <w:lang w:eastAsia="zh-CN"/>
              </w:rPr>
            </w:pPr>
            <w:r>
              <w:rPr>
                <w:rFonts w:hint="eastAsia" w:ascii="宋体" w:hAnsi="宋体" w:eastAsia="宋体" w:cs="宋体"/>
                <w:color w:val="auto"/>
                <w:spacing w:val="2"/>
                <w:kern w:val="2"/>
                <w:sz w:val="21"/>
                <w:highlight w:val="none"/>
                <w:lang w:eastAsia="zh-CN"/>
              </w:rPr>
              <w:t>在评标过程中，评标委员会应对招标人计算的评标基准价进行复</w:t>
            </w:r>
            <w:r>
              <w:rPr>
                <w:rFonts w:hint="eastAsia" w:ascii="宋体" w:hAnsi="宋体" w:eastAsia="宋体" w:cs="宋体"/>
                <w:color w:val="auto"/>
                <w:spacing w:val="-2"/>
                <w:kern w:val="2"/>
                <w:sz w:val="21"/>
                <w:highlight w:val="none"/>
                <w:lang w:eastAsia="zh-CN"/>
              </w:rPr>
              <w:t>核，存在计算错误的应予以修正并在评标报告中作出说明。除此之外，评标基准价在整个评标期间保持不变，不随任何因素发生变化。</w:t>
            </w:r>
          </w:p>
          <w:p>
            <w:pPr>
              <w:pStyle w:val="6"/>
              <w:spacing w:before="34" w:line="276"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highlight w:val="none"/>
                <w:lang w:eastAsia="zh-CN"/>
              </w:rPr>
              <w:t>注</w:t>
            </w:r>
            <w:r>
              <w:rPr>
                <w:rFonts w:hint="eastAsia" w:ascii="宋体" w:hAnsi="宋体" w:eastAsia="宋体" w:cs="宋体"/>
                <w:color w:val="auto"/>
                <w:spacing w:val="-37"/>
                <w:kern w:val="2"/>
                <w:sz w:val="21"/>
                <w:highlight w:val="none"/>
                <w:lang w:eastAsia="zh-CN"/>
              </w:rPr>
              <w:t>：</w:t>
            </w:r>
            <w:r>
              <w:rPr>
                <w:rFonts w:hint="eastAsia" w:ascii="宋体" w:hAnsi="宋体" w:eastAsia="宋体" w:cs="宋体"/>
                <w:color w:val="auto"/>
                <w:kern w:val="2"/>
                <w:sz w:val="21"/>
                <w:highlight w:val="none"/>
                <w:lang w:eastAsia="zh-CN"/>
              </w:rPr>
              <w:t>评</w:t>
            </w:r>
            <w:r>
              <w:rPr>
                <w:rFonts w:hint="eastAsia" w:ascii="宋体" w:hAnsi="宋体" w:eastAsia="宋体" w:cs="宋体"/>
                <w:color w:val="auto"/>
                <w:spacing w:val="-2"/>
                <w:kern w:val="2"/>
                <w:sz w:val="21"/>
                <w:highlight w:val="none"/>
                <w:lang w:eastAsia="zh-CN"/>
              </w:rPr>
              <w:t>标价平均值、最高评标限价、评标基准价均四舍五入至个位整数（以元为单位）。</w:t>
            </w:r>
          </w:p>
        </w:tc>
      </w:tr>
      <w:tr>
        <w:tblPrEx>
          <w:tblCellMar>
            <w:top w:w="0" w:type="dxa"/>
            <w:left w:w="0" w:type="dxa"/>
            <w:bottom w:w="0" w:type="dxa"/>
            <w:right w:w="0" w:type="dxa"/>
          </w:tblCellMar>
        </w:tblPrEx>
        <w:trPr>
          <w:trHeight w:val="1558" w:hRule="exact"/>
        </w:trPr>
        <w:tc>
          <w:tcPr>
            <w:tcW w:w="98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w w:val="105"/>
                <w:sz w:val="20"/>
                <w:highlight w:val="none"/>
              </w:rPr>
              <w:t>2.2.3</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评标价的偏差率计算公式</w:t>
            </w:r>
          </w:p>
        </w:tc>
        <w:tc>
          <w:tcPr>
            <w:tcW w:w="6625" w:type="dxa"/>
            <w:tcBorders>
              <w:top w:val="single" w:color="000000" w:sz="4" w:space="0"/>
              <w:left w:val="single" w:color="000000" w:sz="4" w:space="0"/>
              <w:bottom w:val="single" w:color="000000" w:sz="4" w:space="0"/>
              <w:right w:val="single" w:color="000000" w:sz="4" w:space="0"/>
            </w:tcBorders>
            <w:noWrap w:val="0"/>
            <w:vAlign w:val="center"/>
          </w:tcPr>
          <w:p>
            <w:pPr>
              <w:pStyle w:val="6"/>
              <w:spacing w:before="34" w:line="360" w:lineRule="auto"/>
              <w:jc w:val="both"/>
              <w:rPr>
                <w:rFonts w:hint="eastAsia" w:ascii="宋体" w:hAnsi="宋体" w:eastAsia="宋体" w:cs="宋体"/>
                <w:color w:val="auto"/>
                <w:spacing w:val="-5"/>
                <w:sz w:val="21"/>
                <w:szCs w:val="21"/>
                <w:highlight w:val="none"/>
                <w:lang w:eastAsia="zh-CN"/>
              </w:rPr>
            </w:pPr>
            <w:r>
              <w:rPr>
                <w:rFonts w:hint="eastAsia" w:ascii="宋体" w:hAnsi="宋体" w:eastAsia="宋体" w:cs="宋体"/>
                <w:color w:val="auto"/>
                <w:spacing w:val="-5"/>
                <w:sz w:val="21"/>
                <w:szCs w:val="21"/>
                <w:highlight w:val="none"/>
                <w:lang w:eastAsia="zh-CN"/>
              </w:rPr>
              <w:t>偏差率=100% ×（投标人评标价一评标基准价）/评标基准价</w:t>
            </w:r>
          </w:p>
        </w:tc>
      </w:tr>
    </w:tbl>
    <w:p>
      <w:pPr>
        <w:spacing w:line="20" w:lineRule="exact"/>
        <w:rPr>
          <w:rFonts w:hint="eastAsia" w:ascii="宋体" w:hAnsi="宋体" w:eastAsia="宋体" w:cs="宋体"/>
          <w:color w:val="auto"/>
          <w:sz w:val="2"/>
          <w:szCs w:val="2"/>
          <w:highlight w:val="none"/>
          <w:lang w:eastAsia="zh-CN"/>
        </w:rPr>
      </w:pPr>
    </w:p>
    <w:p>
      <w:pPr>
        <w:spacing w:before="9"/>
        <w:rPr>
          <w:rFonts w:hint="eastAsia" w:ascii="宋体" w:hAnsi="宋体" w:eastAsia="宋体" w:cs="宋体"/>
          <w:color w:val="auto"/>
          <w:sz w:val="11"/>
          <w:szCs w:val="11"/>
          <w:highlight w:val="none"/>
          <w:lang w:eastAsia="zh-CN"/>
        </w:rPr>
      </w:pPr>
    </w:p>
    <w:p>
      <w:pPr>
        <w:rPr>
          <w:rFonts w:hint="eastAsia" w:ascii="宋体" w:hAnsi="宋体" w:eastAsia="宋体" w:cs="宋体"/>
          <w:color w:val="auto"/>
          <w:sz w:val="20"/>
          <w:szCs w:val="20"/>
          <w:highlight w:val="none"/>
          <w:lang w:eastAsia="zh-CN"/>
        </w:rPr>
      </w:pPr>
    </w:p>
    <w:p>
      <w:pPr>
        <w:rPr>
          <w:rFonts w:hint="eastAsia" w:ascii="宋体" w:hAnsi="宋体" w:eastAsia="宋体" w:cs="宋体"/>
          <w:color w:val="auto"/>
          <w:sz w:val="20"/>
          <w:szCs w:val="20"/>
          <w:highlight w:val="none"/>
          <w:lang w:eastAsia="zh-CN"/>
        </w:rPr>
      </w:pPr>
    </w:p>
    <w:p>
      <w:pPr>
        <w:rPr>
          <w:rFonts w:hint="eastAsia" w:ascii="宋体" w:hAnsi="宋体" w:eastAsia="宋体" w:cs="宋体"/>
          <w:color w:val="auto"/>
          <w:sz w:val="20"/>
          <w:szCs w:val="20"/>
          <w:highlight w:val="none"/>
          <w:lang w:eastAsia="zh-CN"/>
        </w:rPr>
      </w:pPr>
    </w:p>
    <w:p>
      <w:pPr>
        <w:rPr>
          <w:rFonts w:hint="eastAsia" w:ascii="宋体" w:hAnsi="宋体" w:eastAsia="宋体" w:cs="宋体"/>
          <w:color w:val="auto"/>
          <w:sz w:val="20"/>
          <w:szCs w:val="20"/>
          <w:highlight w:val="none"/>
          <w:lang w:eastAsia="zh-CN"/>
        </w:rPr>
      </w:pPr>
    </w:p>
    <w:p>
      <w:pPr>
        <w:rPr>
          <w:rFonts w:hint="eastAsia" w:ascii="宋体" w:hAnsi="宋体" w:eastAsia="宋体" w:cs="宋体"/>
          <w:color w:val="auto"/>
          <w:sz w:val="20"/>
          <w:szCs w:val="20"/>
          <w:highlight w:val="none"/>
          <w:lang w:eastAsia="zh-CN"/>
        </w:rPr>
      </w:pPr>
    </w:p>
    <w:p>
      <w:pPr>
        <w:rPr>
          <w:rFonts w:hint="eastAsia" w:ascii="宋体" w:hAnsi="宋体" w:eastAsia="宋体" w:cs="宋体"/>
          <w:color w:val="auto"/>
          <w:sz w:val="20"/>
          <w:szCs w:val="20"/>
          <w:highlight w:val="none"/>
          <w:lang w:eastAsia="zh-CN"/>
        </w:rPr>
      </w:pPr>
    </w:p>
    <w:p>
      <w:pPr>
        <w:rPr>
          <w:rFonts w:hint="eastAsia" w:ascii="宋体" w:hAnsi="宋体" w:eastAsia="宋体" w:cs="宋体"/>
          <w:color w:val="auto"/>
          <w:sz w:val="20"/>
          <w:szCs w:val="20"/>
          <w:highlight w:val="none"/>
          <w:lang w:eastAsia="zh-CN"/>
        </w:rPr>
      </w:pPr>
    </w:p>
    <w:p>
      <w:pPr>
        <w:rPr>
          <w:rFonts w:hint="eastAsia" w:ascii="宋体" w:hAnsi="宋体" w:eastAsia="宋体" w:cs="宋体"/>
          <w:color w:val="auto"/>
          <w:sz w:val="20"/>
          <w:szCs w:val="20"/>
          <w:highlight w:val="none"/>
          <w:lang w:eastAsia="zh-CN"/>
        </w:rPr>
      </w:pPr>
    </w:p>
    <w:p>
      <w:pPr>
        <w:rPr>
          <w:rFonts w:hint="eastAsia" w:ascii="宋体" w:hAnsi="宋体" w:eastAsia="宋体" w:cs="宋体"/>
          <w:color w:val="auto"/>
          <w:sz w:val="20"/>
          <w:szCs w:val="20"/>
          <w:highlight w:val="none"/>
          <w:lang w:eastAsia="zh-CN"/>
        </w:rPr>
      </w:pPr>
    </w:p>
    <w:p>
      <w:pPr>
        <w:spacing w:before="35"/>
        <w:jc w:val="right"/>
        <w:rPr>
          <w:rFonts w:hint="eastAsia" w:ascii="宋体" w:hAnsi="宋体" w:eastAsia="宋体" w:cs="宋体"/>
          <w:color w:val="auto"/>
          <w:highlight w:val="none"/>
          <w:lang w:eastAsia="zh-CN"/>
        </w:rPr>
      </w:pPr>
    </w:p>
    <w:p>
      <w:pPr>
        <w:spacing w:before="35"/>
        <w:jc w:val="right"/>
        <w:rPr>
          <w:rFonts w:hint="eastAsia" w:ascii="宋体" w:hAnsi="宋体" w:eastAsia="宋体" w:cs="宋体"/>
          <w:color w:val="auto"/>
          <w:sz w:val="26"/>
          <w:szCs w:val="26"/>
          <w:highlight w:val="none"/>
          <w:lang w:eastAsia="zh-CN"/>
        </w:rPr>
      </w:pPr>
      <w:r>
        <w:rPr>
          <w:rFonts w:hint="eastAsia" w:ascii="宋体" w:hAnsi="宋体" w:eastAsia="宋体" w:cs="宋体"/>
          <w:color w:val="auto"/>
          <w:highlight w:val="none"/>
        </w:rPr>
        <w:t>续上表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388"/>
        <w:gridCol w:w="539"/>
        <w:gridCol w:w="596"/>
        <w:gridCol w:w="1055"/>
        <w:gridCol w:w="690"/>
        <w:gridCol w:w="1030"/>
        <w:gridCol w:w="7"/>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4" w:type="dxa"/>
            <w:gridSpan w:val="6"/>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评分因素与权重分值</w:t>
            </w:r>
          </w:p>
        </w:tc>
        <w:tc>
          <w:tcPr>
            <w:tcW w:w="4679" w:type="dxa"/>
            <w:gridSpan w:val="3"/>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条款号</w:t>
            </w:r>
          </w:p>
        </w:tc>
        <w:tc>
          <w:tcPr>
            <w:tcW w:w="927" w:type="dxa"/>
            <w:gridSpan w:val="2"/>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w:t>
            </w:r>
          </w:p>
        </w:tc>
        <w:tc>
          <w:tcPr>
            <w:tcW w:w="596"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评分因素权重分值</w:t>
            </w:r>
          </w:p>
        </w:tc>
        <w:tc>
          <w:tcPr>
            <w:tcW w:w="1055"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各项评分因素细分项</w:t>
            </w:r>
          </w:p>
        </w:tc>
        <w:tc>
          <w:tcPr>
            <w:tcW w:w="690"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分值</w:t>
            </w:r>
          </w:p>
        </w:tc>
        <w:tc>
          <w:tcPr>
            <w:tcW w:w="4679" w:type="dxa"/>
            <w:gridSpan w:val="3"/>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836" w:type="dxa"/>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2.2.4（1）</w:t>
            </w:r>
          </w:p>
        </w:tc>
        <w:tc>
          <w:tcPr>
            <w:tcW w:w="927" w:type="dxa"/>
            <w:gridSpan w:val="2"/>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技术文件</w:t>
            </w:r>
          </w:p>
        </w:tc>
        <w:tc>
          <w:tcPr>
            <w:tcW w:w="596" w:type="dxa"/>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25分</w:t>
            </w:r>
          </w:p>
        </w:tc>
        <w:tc>
          <w:tcPr>
            <w:tcW w:w="1055" w:type="dxa"/>
            <w:vMerge w:val="restart"/>
            <w:noWrap w:val="0"/>
            <w:vAlign w:val="center"/>
          </w:tcPr>
          <w:p>
            <w:pPr>
              <w:pStyle w:val="6"/>
              <w:spacing w:before="85"/>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监理大纲（或监理方案）和措施</w:t>
            </w:r>
          </w:p>
        </w:tc>
        <w:tc>
          <w:tcPr>
            <w:tcW w:w="690" w:type="dxa"/>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15分</w:t>
            </w:r>
          </w:p>
        </w:tc>
        <w:tc>
          <w:tcPr>
            <w:tcW w:w="1037" w:type="dxa"/>
            <w:gridSpan w:val="2"/>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质量和安全监理(5分）</w:t>
            </w:r>
          </w:p>
        </w:tc>
        <w:tc>
          <w:tcPr>
            <w:tcW w:w="3642"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质量和安全监理方案非常好的，得4.1~5.0分；中等的，得3.1~4.0分，基本满足要求的，得3.0分。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927" w:type="dxa"/>
            <w:gridSpan w:val="2"/>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59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55" w:type="dxa"/>
            <w:vMerge w:val="continue"/>
            <w:noWrap w:val="0"/>
            <w:vAlign w:val="center"/>
          </w:tcPr>
          <w:p>
            <w:pPr>
              <w:pStyle w:val="6"/>
              <w:spacing w:before="85"/>
              <w:jc w:val="center"/>
              <w:rPr>
                <w:rFonts w:hint="eastAsia" w:ascii="宋体" w:hAnsi="宋体" w:eastAsia="宋体" w:cs="宋体"/>
                <w:color w:val="auto"/>
                <w:sz w:val="21"/>
                <w:szCs w:val="21"/>
                <w:highlight w:val="none"/>
                <w:lang w:eastAsia="zh-CN"/>
              </w:rPr>
            </w:pPr>
          </w:p>
        </w:tc>
        <w:tc>
          <w:tcPr>
            <w:tcW w:w="690"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37" w:type="dxa"/>
            <w:gridSpan w:val="2"/>
            <w:noWrap w:val="0"/>
            <w:vAlign w:val="center"/>
          </w:tcPr>
          <w:p>
            <w:pPr>
              <w:ind w:left="6" w:hanging="6" w:hangingChars="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进度监理（4分）</w:t>
            </w:r>
          </w:p>
        </w:tc>
        <w:tc>
          <w:tcPr>
            <w:tcW w:w="3642" w:type="dxa"/>
            <w:noWrap w:val="0"/>
            <w:vAlign w:val="center"/>
          </w:tcPr>
          <w:p>
            <w:pPr>
              <w:ind w:left="6" w:hanging="6" w:hangingChars="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进度监理方案非常好的，得3.3~4.0分；中等的，得2.5~3.2分，基本满足要求的，得2.4分。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927" w:type="dxa"/>
            <w:gridSpan w:val="2"/>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59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55" w:type="dxa"/>
            <w:vMerge w:val="continue"/>
            <w:noWrap w:val="0"/>
            <w:vAlign w:val="center"/>
          </w:tcPr>
          <w:p>
            <w:pPr>
              <w:pStyle w:val="6"/>
              <w:spacing w:before="85"/>
              <w:jc w:val="center"/>
              <w:rPr>
                <w:rFonts w:hint="eastAsia" w:ascii="宋体" w:hAnsi="宋体" w:eastAsia="宋体" w:cs="宋体"/>
                <w:color w:val="auto"/>
                <w:sz w:val="21"/>
                <w:szCs w:val="21"/>
                <w:highlight w:val="none"/>
                <w:lang w:eastAsia="zh-CN"/>
              </w:rPr>
            </w:pPr>
          </w:p>
        </w:tc>
        <w:tc>
          <w:tcPr>
            <w:tcW w:w="690"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30" w:type="dxa"/>
            <w:noWrap w:val="0"/>
            <w:vAlign w:val="center"/>
          </w:tcPr>
          <w:p>
            <w:pPr>
              <w:ind w:left="6" w:hanging="6" w:hangingChars="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费用和合同监理（3分）</w:t>
            </w:r>
          </w:p>
        </w:tc>
        <w:tc>
          <w:tcPr>
            <w:tcW w:w="3649" w:type="dxa"/>
            <w:gridSpan w:val="2"/>
            <w:noWrap w:val="0"/>
            <w:vAlign w:val="center"/>
          </w:tcPr>
          <w:p>
            <w:pPr>
              <w:ind w:left="6" w:hanging="6" w:hangingChars="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费用及合同监理方案非常好的，得2.5~3.0分；中等的，得1.9~2.4分，基本满足要求的，得1.8分。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927" w:type="dxa"/>
            <w:gridSpan w:val="2"/>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59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55" w:type="dxa"/>
            <w:vMerge w:val="continue"/>
            <w:noWrap w:val="0"/>
            <w:vAlign w:val="center"/>
          </w:tcPr>
          <w:p>
            <w:pPr>
              <w:pStyle w:val="6"/>
              <w:spacing w:before="85"/>
              <w:jc w:val="center"/>
              <w:rPr>
                <w:rFonts w:hint="eastAsia" w:ascii="宋体" w:hAnsi="宋体" w:eastAsia="宋体" w:cs="宋体"/>
                <w:color w:val="auto"/>
                <w:sz w:val="21"/>
                <w:szCs w:val="21"/>
                <w:highlight w:val="none"/>
                <w:lang w:eastAsia="zh-CN"/>
              </w:rPr>
            </w:pPr>
          </w:p>
        </w:tc>
        <w:tc>
          <w:tcPr>
            <w:tcW w:w="690"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37" w:type="dxa"/>
            <w:gridSpan w:val="2"/>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施工环境保护监理（3分）</w:t>
            </w:r>
          </w:p>
        </w:tc>
        <w:tc>
          <w:tcPr>
            <w:tcW w:w="3642" w:type="dxa"/>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施工环境保护监理方案非常好的，得2.5~3.0分；中等的，得1.9~2.4分，基本满足要求的，得1.8分。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927" w:type="dxa"/>
            <w:gridSpan w:val="2"/>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59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55" w:type="dxa"/>
            <w:noWrap w:val="0"/>
            <w:vAlign w:val="center"/>
          </w:tcPr>
          <w:p>
            <w:pPr>
              <w:pStyle w:val="6"/>
              <w:spacing w:before="8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本工程监理工作的重点与难点分析</w:t>
            </w:r>
          </w:p>
        </w:tc>
        <w:tc>
          <w:tcPr>
            <w:tcW w:w="690"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5分</w:t>
            </w:r>
          </w:p>
        </w:tc>
        <w:tc>
          <w:tcPr>
            <w:tcW w:w="4679" w:type="dxa"/>
            <w:gridSpan w:val="3"/>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对本工程重点难点非常到位的，得4.1~5.0分；中等的，得3.1~4.0分，基本满足要求的，得3.0分。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927" w:type="dxa"/>
            <w:gridSpan w:val="2"/>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59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55" w:type="dxa"/>
            <w:noWrap w:val="0"/>
            <w:vAlign w:val="center"/>
          </w:tcPr>
          <w:p>
            <w:pPr>
              <w:pStyle w:val="6"/>
              <w:spacing w:before="88"/>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对本工程的建议</w:t>
            </w:r>
          </w:p>
        </w:tc>
        <w:tc>
          <w:tcPr>
            <w:tcW w:w="690"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5分</w:t>
            </w:r>
          </w:p>
        </w:tc>
        <w:tc>
          <w:tcPr>
            <w:tcW w:w="4679" w:type="dxa"/>
            <w:gridSpan w:val="3"/>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对本工程的建议非常好的，得4.1~5.0分；中等的，得3.1~4.0分，基本满足要求的，得3.0分。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36" w:type="dxa"/>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2.2.4（2）</w:t>
            </w:r>
          </w:p>
        </w:tc>
        <w:tc>
          <w:tcPr>
            <w:tcW w:w="927" w:type="dxa"/>
            <w:gridSpan w:val="2"/>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主要人员</w:t>
            </w:r>
          </w:p>
        </w:tc>
        <w:tc>
          <w:tcPr>
            <w:tcW w:w="596" w:type="dxa"/>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25分</w:t>
            </w:r>
          </w:p>
        </w:tc>
        <w:tc>
          <w:tcPr>
            <w:tcW w:w="1055"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最低要求</w:t>
            </w:r>
          </w:p>
        </w:tc>
        <w:tc>
          <w:tcPr>
            <w:tcW w:w="690"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15分</w:t>
            </w:r>
          </w:p>
        </w:tc>
        <w:tc>
          <w:tcPr>
            <w:tcW w:w="4679" w:type="dxa"/>
            <w:gridSpan w:val="3"/>
            <w:noWrap w:val="0"/>
            <w:vAlign w:val="center"/>
          </w:tcPr>
          <w:p>
            <w:pPr>
              <w:spacing w:before="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满足“投标人须知前附表”附录4要求的，得15分。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927" w:type="dxa"/>
            <w:gridSpan w:val="2"/>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59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55" w:type="dxa"/>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加分</w:t>
            </w:r>
          </w:p>
        </w:tc>
        <w:tc>
          <w:tcPr>
            <w:tcW w:w="690"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10分</w:t>
            </w:r>
          </w:p>
        </w:tc>
        <w:tc>
          <w:tcPr>
            <w:tcW w:w="4679" w:type="dxa"/>
            <w:gridSpan w:val="3"/>
            <w:noWrap w:val="0"/>
            <w:vAlign w:val="center"/>
          </w:tcPr>
          <w:p>
            <w:pPr>
              <w:spacing w:before="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在满足资格审查条件人员最低要求的基础上，拟投入本项目的总监理工程师：</w:t>
            </w:r>
          </w:p>
          <w:p>
            <w:pPr>
              <w:spacing w:before="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1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①</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具有住房和城乡建设部（原建设部）颁发的监理工程师资格证书；</w:t>
            </w:r>
          </w:p>
          <w:p>
            <w:pPr>
              <w:spacing w:before="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具有住房和城乡建设部（原建设部）颁发的一级建造师资格证书；</w:t>
            </w:r>
          </w:p>
          <w:p>
            <w:pPr>
              <w:spacing w:before="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③具有交通运输部核发的甲级造价工程师资格证书；</w:t>
            </w:r>
          </w:p>
          <w:p>
            <w:pPr>
              <w:spacing w:before="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④具有交通运输部工程质量监督局（原交通运输部基本建设质量监督总站）颁发的试验检测工程师资格证书或交通运输部职业资格中心颁发的公路水运试验检测师资格证书；</w:t>
            </w:r>
          </w:p>
          <w:p>
            <w:pPr>
              <w:spacing w:before="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⑤具有国家安全生产监督管理总局颁发的注册安全工程师执业资格证书。</w:t>
            </w:r>
          </w:p>
          <w:p>
            <w:pPr>
              <w:spacing w:before="3"/>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同时具有上述①②③④⑤项的，加10分；具有上述①②③④⑤任意一至四项的，每项加0.5分；不具备上述条件不加分。</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 xml:space="preserve">本项最多加10分。须提供相关证书的复印件，否则不得分。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836" w:type="dxa"/>
            <w:noWrap w:val="0"/>
            <w:vAlign w:val="center"/>
          </w:tcPr>
          <w:p>
            <w:pPr>
              <w:spacing w:line="380" w:lineRule="atLeas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2.2.4(3)</w:t>
            </w:r>
          </w:p>
        </w:tc>
        <w:tc>
          <w:tcPr>
            <w:tcW w:w="927" w:type="dxa"/>
            <w:gridSpan w:val="2"/>
            <w:noWrap w:val="0"/>
            <w:vAlign w:val="center"/>
          </w:tcPr>
          <w:p>
            <w:pPr>
              <w:spacing w:line="38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w:t>
            </w:r>
          </w:p>
        </w:tc>
        <w:tc>
          <w:tcPr>
            <w:tcW w:w="596" w:type="dxa"/>
            <w:noWrap w:val="0"/>
            <w:vAlign w:val="center"/>
          </w:tcPr>
          <w:p>
            <w:pPr>
              <w:spacing w:line="380" w:lineRule="atLeas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10分</w:t>
            </w:r>
          </w:p>
        </w:tc>
        <w:tc>
          <w:tcPr>
            <w:tcW w:w="6424" w:type="dxa"/>
            <w:gridSpan w:val="5"/>
            <w:noWrap w:val="0"/>
            <w:vAlign w:val="center"/>
          </w:tcPr>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评标价得分计算公式示例：</w:t>
            </w:r>
          </w:p>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(1)如果投标人的评标价&gt;评标基准价，则评标价得分＝F－偏差率×100× E1；</w:t>
            </w:r>
          </w:p>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(2)如果投标人的评标价≤评标基准价，则评标价得分＝F＋偏差率× 100× E2。</w:t>
            </w:r>
          </w:p>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其中：F=10，一般原则上E1=1.0，E2=0.5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836"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2.2.4（4）</w:t>
            </w:r>
          </w:p>
          <w:p>
            <w:pPr>
              <w:spacing w:before="3"/>
              <w:jc w:val="center"/>
              <w:rPr>
                <w:rFonts w:hint="eastAsia" w:ascii="宋体" w:hAnsi="宋体" w:eastAsia="宋体" w:cs="宋体"/>
                <w:color w:val="auto"/>
                <w:sz w:val="21"/>
                <w:szCs w:val="21"/>
                <w:highlight w:val="none"/>
                <w:lang w:eastAsia="zh-CN"/>
              </w:rPr>
            </w:pPr>
          </w:p>
        </w:tc>
        <w:tc>
          <w:tcPr>
            <w:tcW w:w="388" w:type="dxa"/>
            <w:vMerge w:val="restart"/>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其他因素</w:t>
            </w:r>
          </w:p>
          <w:p>
            <w:pPr>
              <w:spacing w:before="3"/>
              <w:jc w:val="center"/>
              <w:rPr>
                <w:rFonts w:hint="eastAsia" w:ascii="宋体" w:hAnsi="宋体" w:eastAsia="宋体" w:cs="宋体"/>
                <w:color w:val="auto"/>
                <w:sz w:val="21"/>
                <w:szCs w:val="21"/>
                <w:highlight w:val="none"/>
                <w:lang w:eastAsia="zh-CN"/>
              </w:rPr>
            </w:pPr>
          </w:p>
        </w:tc>
        <w:tc>
          <w:tcPr>
            <w:tcW w:w="5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技术能力</w:t>
            </w:r>
          </w:p>
        </w:tc>
        <w:tc>
          <w:tcPr>
            <w:tcW w:w="596"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5分</w:t>
            </w:r>
          </w:p>
        </w:tc>
        <w:tc>
          <w:tcPr>
            <w:tcW w:w="6424" w:type="dxa"/>
            <w:gridSpan w:val="5"/>
            <w:noWrap w:val="0"/>
            <w:vAlign w:val="center"/>
          </w:tcPr>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投标人控股的下属单位或投标人的控股股东具有交通运输部颁发的公路工程综合甲级试验检测资质和公路工程桥梁隧道专项检测资质的，加5分；具有公路工程综合乙级试验检测资质和公路工程桥梁隧道专项检测资质的，加2分。</w:t>
            </w:r>
          </w:p>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18"/>
                <w:szCs w:val="18"/>
                <w:highlight w:val="none"/>
                <w:lang w:eastAsia="zh-CN"/>
              </w:rPr>
              <w:t>注：控股是指出资额大于50%，以国家企业信用信息公示系统的股东及出资信息中登记的出资额为准。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388"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539" w:type="dxa"/>
            <w:vMerge w:val="restart"/>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监理业绩</w:t>
            </w:r>
          </w:p>
        </w:tc>
        <w:tc>
          <w:tcPr>
            <w:tcW w:w="596" w:type="dxa"/>
            <w:vMerge w:val="restart"/>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25分</w:t>
            </w:r>
          </w:p>
        </w:tc>
        <w:tc>
          <w:tcPr>
            <w:tcW w:w="1055"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最低要求</w:t>
            </w:r>
          </w:p>
        </w:tc>
        <w:tc>
          <w:tcPr>
            <w:tcW w:w="690"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15分</w:t>
            </w:r>
          </w:p>
        </w:tc>
        <w:tc>
          <w:tcPr>
            <w:tcW w:w="4679" w:type="dxa"/>
            <w:gridSpan w:val="3"/>
            <w:noWrap w:val="0"/>
            <w:vAlign w:val="center"/>
          </w:tcPr>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满足“投标人须知前附表”附录2要求的，得15分。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388" w:type="dxa"/>
            <w:vMerge w:val="continue"/>
            <w:noWrap w:val="0"/>
            <w:vAlign w:val="center"/>
          </w:tcPr>
          <w:p>
            <w:pPr>
              <w:spacing w:before="3"/>
              <w:rPr>
                <w:rFonts w:hint="eastAsia" w:ascii="宋体" w:hAnsi="宋体" w:eastAsia="宋体" w:cs="宋体"/>
                <w:color w:val="auto"/>
                <w:sz w:val="21"/>
                <w:szCs w:val="21"/>
                <w:highlight w:val="none"/>
                <w:lang w:eastAsia="zh-CN"/>
              </w:rPr>
            </w:pPr>
          </w:p>
        </w:tc>
        <w:tc>
          <w:tcPr>
            <w:tcW w:w="539" w:type="dxa"/>
            <w:vMerge w:val="continue"/>
            <w:noWrap w:val="0"/>
            <w:vAlign w:val="center"/>
          </w:tcPr>
          <w:p>
            <w:pPr>
              <w:jc w:val="center"/>
              <w:rPr>
                <w:rFonts w:hint="eastAsia" w:ascii="宋体" w:hAnsi="宋体" w:eastAsia="宋体" w:cs="宋体"/>
                <w:color w:val="auto"/>
                <w:sz w:val="21"/>
                <w:szCs w:val="21"/>
                <w:highlight w:val="none"/>
                <w:lang w:eastAsia="zh-CN"/>
              </w:rPr>
            </w:pPr>
          </w:p>
        </w:tc>
        <w:tc>
          <w:tcPr>
            <w:tcW w:w="59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1055"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加分</w:t>
            </w:r>
          </w:p>
        </w:tc>
        <w:tc>
          <w:tcPr>
            <w:tcW w:w="690"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10分</w:t>
            </w:r>
          </w:p>
        </w:tc>
        <w:tc>
          <w:tcPr>
            <w:tcW w:w="4679" w:type="dxa"/>
            <w:gridSpan w:val="3"/>
            <w:noWrap w:val="0"/>
            <w:vAlign w:val="center"/>
          </w:tcPr>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在满足资格审查条件业绩最低要求的基础上：</w:t>
            </w:r>
          </w:p>
          <w:p>
            <w:pPr>
              <w:spacing w:before="3"/>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近五年内每累计增加独立完成50个普通公路大中修、养护、改善工程的施工监理任务，加1分，最多加10分；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836"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388" w:type="dxa"/>
            <w:vMerge w:val="continue"/>
            <w:noWrap w:val="0"/>
            <w:vAlign w:val="center"/>
          </w:tcPr>
          <w:p>
            <w:pPr>
              <w:spacing w:before="3"/>
              <w:jc w:val="center"/>
              <w:rPr>
                <w:rFonts w:hint="eastAsia" w:ascii="宋体" w:hAnsi="宋体" w:eastAsia="宋体" w:cs="宋体"/>
                <w:color w:val="auto"/>
                <w:sz w:val="21"/>
                <w:szCs w:val="21"/>
                <w:highlight w:val="none"/>
                <w:lang w:eastAsia="zh-CN"/>
              </w:rPr>
            </w:pPr>
          </w:p>
        </w:tc>
        <w:tc>
          <w:tcPr>
            <w:tcW w:w="539"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履约信誉</w:t>
            </w:r>
          </w:p>
        </w:tc>
        <w:tc>
          <w:tcPr>
            <w:tcW w:w="596"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10分</w:t>
            </w:r>
          </w:p>
        </w:tc>
        <w:tc>
          <w:tcPr>
            <w:tcW w:w="1055"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加分</w:t>
            </w:r>
          </w:p>
        </w:tc>
        <w:tc>
          <w:tcPr>
            <w:tcW w:w="690" w:type="dxa"/>
            <w:noWrap w:val="0"/>
            <w:vAlign w:val="center"/>
          </w:tcPr>
          <w:p>
            <w:pPr>
              <w:spacing w:before="3"/>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10分</w:t>
            </w:r>
          </w:p>
        </w:tc>
        <w:tc>
          <w:tcPr>
            <w:tcW w:w="4679" w:type="dxa"/>
            <w:gridSpan w:val="3"/>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⑴信用得分（5分）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信用等级AA级得5分、A级得4.75分、B级得4.45分、C级得3.65分。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注：信用等级的确定原则遵循投标人须知前附表10.2款的规定。</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⑵履约得分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若出现下述情形扣分。</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投标文件递交截止日前1年内，因公路工程（含附属设施）质量、安全、履约或招标投标问题等原因被：</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①交通运输部通报批评的，扣2.5分/次；</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②广东省交通运输厅通报批评的，扣2分/次。</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同一事项同时被多部门通报批评的只按最高的扣分计算1次。如果扣完本项分值，可以从总分（100分）中扣。</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⑶信誉得分（5分 ）</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具有纳税信用等级为A级纳税人和连续十五年以上（含十五年）“守合同重信用”证书的加5分；具有纳税信用等级为A级纳税人和连续十～十四年“守合同重信用”证书的加3分；具有纳税信用等级为A级纳税人和连续五～九年“守合同重信用”证书的加1分；具有纳税信用等级为A级纳税人和连续一～四年“守合同重信用”证书的加0.5分。本项不重复加分，以最高分计。</w:t>
            </w:r>
          </w:p>
        </w:tc>
      </w:tr>
    </w:tbl>
    <w:p>
      <w:pPr>
        <w:spacing w:before="35"/>
        <w:jc w:val="right"/>
        <w:rPr>
          <w:rFonts w:hint="eastAsia" w:ascii="宋体" w:hAnsi="宋体" w:eastAsia="宋体" w:cs="宋体"/>
          <w:color w:val="auto"/>
          <w:sz w:val="26"/>
          <w:szCs w:val="26"/>
          <w:highlight w:val="none"/>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8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012" w:type="dxa"/>
            <w:gridSpan w:val="2"/>
            <w:noWrap w:val="0"/>
            <w:vAlign w:val="center"/>
          </w:tcPr>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94" w:type="dxa"/>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条款号</w:t>
            </w:r>
          </w:p>
        </w:tc>
        <w:tc>
          <w:tcPr>
            <w:tcW w:w="8118" w:type="dxa"/>
            <w:noWrap w:val="0"/>
            <w:vAlign w:val="center"/>
          </w:tcPr>
          <w:p>
            <w:pPr>
              <w:widowControl/>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94" w:type="dxa"/>
            <w:noWrap w:val="0"/>
            <w:vAlign w:val="center"/>
          </w:tcPr>
          <w:p>
            <w:pPr>
              <w:widowControl/>
              <w:spacing w:before="240" w:after="24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p>
        </w:tc>
        <w:tc>
          <w:tcPr>
            <w:tcW w:w="8118" w:type="dxa"/>
            <w:noWrap w:val="0"/>
            <w:vAlign w:val="top"/>
          </w:tcPr>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1.1评标方法</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评标采用双信封的综合评估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1.2评标组织</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1.2.1协助工作组</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招标人可在评标工作开始前成立协助工作组，选派熟悉招标工作、政治素质高的人员组成，协助评标委员会工作。协助工作组人员的具体数量由招标人视评标工作量确定。</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招标人可以协助评标委员会开展下列工作并提供相关信息：</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（1）根据招标文件，编制评标使用的相应表格；</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（2）对投标报价进行算术性校核；</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（3）以评标标准和方法为依据，列出投标文件相对于招标文件的所有偏差，并进行归类汇总。</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（4）查询公路建设市场信用信息管理系统，对投标人的资质、业绩、主要人员资历和目前在岗情况、信用等级进行核实（如有）。</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招标人不得对投标文件作出任何评价，不得故意遗漏或者片面摘录，不得在评标委员会对所有偏差定性之前透露存有偏差的投标人名称。</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1.2.2评标委员会</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评标委员会由招标人按国家、广东省等的有关规定依法组建。评标委员人数参见本招标文件“投标人须知前附表第6.1.1。评标委员会的主要工作内容包括：</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（1）评标委员会开始评标工作之前，首先听取招标人、协助工作组关于工程情况和辅助工作的说明，并认真研读招标文件，获取评标所需的重要信息和数据；</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（2）对协助工作组提供的评标工作用表和评标内容进行核查。</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（3）按照以下1.3款程序进行各项评审工作。</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1.3评审工作程序</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（一）第一信封（商务及技术文件）：</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l、初步评审：包括形式评审与响应性评审、资格评审；</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2、详细评审（评审打分）：评标委员会首先对通过初步评审的投标文件第一个信封（商务及技术文件）进行详细评审，对投标人的监理实施方案、主要人员、其他因素等分别评审打分。</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（二）第二信封（报价文件）：</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 1、初步评审：</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（1）只有投标文件第一个信封通过详细评审的投标人才能继续参加第二信封报价文件的形式评审与响应性评审；</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（2）报价算术性修正；</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2、详细评审：计算评标基准价、评标价得分及综合得分；</w:t>
            </w:r>
          </w:p>
          <w:p>
            <w:pPr>
              <w:spacing w:line="340" w:lineRule="exact"/>
              <w:ind w:firstLine="378" w:firstLineChars="18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（三）投标文件相关信息的核查。</w:t>
            </w:r>
          </w:p>
          <w:p>
            <w:pPr>
              <w:spacing w:line="340" w:lineRule="exact"/>
              <w:ind w:firstLine="378" w:firstLineChars="18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（四）投标文件的澄清和说明（如有）</w:t>
            </w:r>
          </w:p>
          <w:p>
            <w:pPr>
              <w:spacing w:line="340" w:lineRule="exact"/>
              <w:ind w:firstLine="378" w:firstLineChars="1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（五）按评标办法规定推荐中标候选人，编写评标报告。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4" w:type="dxa"/>
            <w:noWrap w:val="0"/>
            <w:vAlign w:val="center"/>
          </w:tcPr>
          <w:p>
            <w:pPr>
              <w:widowControl/>
              <w:spacing w:before="240" w:after="24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w:t>
            </w:r>
          </w:p>
        </w:tc>
        <w:tc>
          <w:tcPr>
            <w:tcW w:w="8118" w:type="dxa"/>
            <w:noWrap w:val="0"/>
            <w:vAlign w:val="center"/>
          </w:tcPr>
          <w:p>
            <w:pPr>
              <w:spacing w:line="340" w:lineRule="exact"/>
              <w:ind w:firstLine="379" w:firstLineChars="18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原3.2.2条款补充细化如下：</w:t>
            </w:r>
          </w:p>
          <w:p>
            <w:pPr>
              <w:spacing w:line="340" w:lineRule="exact"/>
              <w:ind w:firstLine="378" w:firstLineChars="18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在第一个信封详细评审时，各评分因素（主要人员、技术能力（如有）、履约信誉除外）得分一般不得低于该权重分值的60%，评标委员会成员对某一项评分因素的评分低于权重值60%的，应当在评标报告中作出说明。</w:t>
            </w:r>
          </w:p>
          <w:p>
            <w:pPr>
              <w:spacing w:line="340" w:lineRule="exact"/>
              <w:ind w:firstLine="378" w:firstLineChars="18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21"/>
                <w:sz w:val="21"/>
                <w:szCs w:val="21"/>
                <w:highlight w:val="none"/>
                <w:lang w:eastAsia="zh-CN"/>
              </w:rPr>
              <w:t>商务评分（主要人员、其他因素）得分应以评标委员会各成员的算术平均值确定。计算投标人技术得分时，对各评委技术评分总和中去掉一个评委评分总和的最高值和一个评委评分总和的最低值后的算术平均值为投标人的最终技术得分，平均值计算四舍五入保留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4" w:type="dxa"/>
            <w:noWrap w:val="0"/>
            <w:vAlign w:val="center"/>
          </w:tcPr>
          <w:p>
            <w:pPr>
              <w:widowControl/>
              <w:spacing w:before="240" w:after="24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w:t>
            </w:r>
          </w:p>
        </w:tc>
        <w:tc>
          <w:tcPr>
            <w:tcW w:w="8118" w:type="dxa"/>
            <w:noWrap w:val="0"/>
            <w:vAlign w:val="center"/>
          </w:tcPr>
          <w:p>
            <w:pPr>
              <w:spacing w:line="340" w:lineRule="exact"/>
              <w:ind w:firstLine="378" w:firstLineChars="180"/>
              <w:jc w:val="both"/>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原3.4.2（3）条款内容修改如下：</w:t>
            </w:r>
          </w:p>
          <w:p>
            <w:pPr>
              <w:spacing w:line="340" w:lineRule="exact"/>
              <w:ind w:firstLine="378" w:firstLineChars="18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21"/>
                <w:sz w:val="21"/>
                <w:szCs w:val="21"/>
                <w:highlight w:val="none"/>
                <w:lang w:eastAsia="zh-CN"/>
              </w:rPr>
              <w:t>（3）当监理服务费按计费公式计算后不等于合价时，以合价计算为准修正监理服务费下浮率；除非合价有明显的小数点位置差错，则应以标出的监理服务费下浮率为准，同时对合价予以修正。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94" w:type="dxa"/>
            <w:noWrap w:val="0"/>
            <w:vAlign w:val="center"/>
          </w:tcPr>
          <w:p>
            <w:pPr>
              <w:widowControl/>
              <w:spacing w:before="240" w:after="24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3.6.3</w:t>
            </w:r>
          </w:p>
        </w:tc>
        <w:tc>
          <w:tcPr>
            <w:tcW w:w="8118" w:type="dxa"/>
            <w:noWrap w:val="0"/>
            <w:vAlign w:val="center"/>
          </w:tcPr>
          <w:p>
            <w:pPr>
              <w:spacing w:line="340" w:lineRule="exact"/>
              <w:ind w:firstLine="379" w:firstLineChars="180"/>
              <w:jc w:val="both"/>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增加3.6.3项：</w:t>
            </w:r>
          </w:p>
          <w:p>
            <w:pPr>
              <w:spacing w:line="340" w:lineRule="exact"/>
              <w:ind w:firstLine="378" w:firstLineChars="180"/>
              <w:jc w:val="both"/>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sz w:val="21"/>
                <w:szCs w:val="21"/>
                <w:highlight w:val="none"/>
                <w:lang w:eastAsia="zh-CN"/>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2" w:hRule="atLeast"/>
          <w:jc w:val="center"/>
        </w:trPr>
        <w:tc>
          <w:tcPr>
            <w:tcW w:w="894" w:type="dxa"/>
            <w:noWrap w:val="0"/>
            <w:vAlign w:val="top"/>
          </w:tcPr>
          <w:p>
            <w:pPr>
              <w:widowControl/>
              <w:spacing w:before="240" w:after="24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3.9</w:t>
            </w:r>
          </w:p>
        </w:tc>
        <w:tc>
          <w:tcPr>
            <w:tcW w:w="8118" w:type="dxa"/>
            <w:noWrap w:val="0"/>
            <w:vAlign w:val="top"/>
          </w:tcPr>
          <w:p>
            <w:pPr>
              <w:spacing w:line="340" w:lineRule="exact"/>
              <w:ind w:firstLine="422" w:firstLineChars="200"/>
              <w:jc w:val="both"/>
              <w:rPr>
                <w:rFonts w:hint="eastAsia" w:ascii="宋体" w:hAnsi="宋体" w:eastAsia="宋体" w:cs="宋体"/>
                <w:b/>
                <w:color w:val="auto"/>
                <w:kern w:val="21"/>
                <w:sz w:val="21"/>
                <w:szCs w:val="21"/>
                <w:highlight w:val="none"/>
                <w:lang w:eastAsia="zh-CN"/>
              </w:rPr>
            </w:pPr>
            <w:r>
              <w:rPr>
                <w:rFonts w:hint="eastAsia" w:ascii="宋体" w:hAnsi="宋体" w:eastAsia="宋体" w:cs="宋体"/>
                <w:b/>
                <w:color w:val="auto"/>
                <w:kern w:val="21"/>
                <w:sz w:val="21"/>
                <w:szCs w:val="21"/>
                <w:highlight w:val="none"/>
                <w:lang w:eastAsia="zh-CN"/>
              </w:rPr>
              <w:t>增加3.9.3、3.9.4、3.9.5条款后增加：</w:t>
            </w:r>
          </w:p>
          <w:p>
            <w:pPr>
              <w:spacing w:line="340" w:lineRule="exact"/>
              <w:ind w:firstLine="420" w:firstLineChars="200"/>
              <w:jc w:val="both"/>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3.9.3 通过第一个信封商务和技术文件评审的投标人少于3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pPr>
              <w:spacing w:line="340" w:lineRule="exact"/>
              <w:ind w:firstLine="420" w:firstLineChars="200"/>
              <w:jc w:val="both"/>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3.9.4 通过第一个信封商务和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pPr>
              <w:spacing w:line="340" w:lineRule="exact"/>
              <w:ind w:firstLine="378" w:firstLineChars="18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kern w:val="21"/>
                <w:sz w:val="21"/>
                <w:szCs w:val="21"/>
                <w:highlight w:val="none"/>
                <w:lang w:eastAsia="zh-CN"/>
              </w:rPr>
              <w:t>3.9.5 如果发生无法确定推荐中标候选人的其它意外情况，评标委员会可建议招标人重新招标。</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26</w:t>
    </w:r>
    <w:r>
      <w:fldChar w:fldCharType="end"/>
    </w:r>
  </w:p>
  <w:p>
    <w:pPr>
      <w:spacing w:line="14" w:lineRule="auto"/>
      <w:rPr>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C6F29"/>
    <w:rsid w:val="709C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宋体" w:cs="Times New Roman"/>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eastAsia="宋体" w:cs="Times New Roman"/>
      <w:b/>
    </w:rPr>
  </w:style>
  <w:style w:type="paragraph" w:styleId="3">
    <w:name w:val="footer"/>
    <w:basedOn w:val="1"/>
    <w:unhideWhenUsed/>
    <w:qFormat/>
    <w:uiPriority w:val="99"/>
    <w:pPr>
      <w:tabs>
        <w:tab w:val="center" w:pos="4153"/>
        <w:tab w:val="right" w:pos="8306"/>
      </w:tabs>
      <w:snapToGrid w:val="0"/>
    </w:pPr>
    <w:rPr>
      <w:sz w:val="18"/>
      <w:szCs w:val="18"/>
    </w:rPr>
  </w:style>
  <w:style w:type="paragraph" w:customStyle="1" w:styleId="6">
    <w:name w:val="Table Paragraph"/>
    <w:basedOn w:val="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2020-09-11T04:37:00Z</dcterms:created>
  <dc:creator>…KING</dc:creator>
  <cp:lastModifiedBy>…KING</cp:lastModifiedBy>
  <dcterms:modified xsi:type="dcterms:W3CDTF">2020-09-11T04:38:48Z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