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2"/>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附录 1  资格审查条件（资质最低要求）</w:t>
      </w:r>
    </w:p>
    <w:p>
      <w:pPr>
        <w:spacing w:before="2"/>
        <w:rPr>
          <w:rFonts w:hint="eastAsia" w:ascii="宋体" w:hAnsi="宋体" w:eastAsia="宋体" w:cs="宋体"/>
          <w:color w:val="auto"/>
          <w:sz w:val="20"/>
          <w:szCs w:val="20"/>
          <w:highlight w:val="none"/>
          <w:lang w:eastAsia="zh-CN"/>
        </w:rPr>
      </w:pPr>
    </w:p>
    <w:p>
      <w:pPr>
        <w:spacing w:line="20" w:lineRule="exact"/>
        <w:rPr>
          <w:rFonts w:hint="eastAsia" w:ascii="宋体" w:hAnsi="宋体" w:eastAsia="宋体" w:cs="宋体"/>
          <w:color w:val="auto"/>
          <w:sz w:val="2"/>
          <w:szCs w:val="2"/>
          <w:highlight w:val="none"/>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306" w:type="dxa"/>
            <w:gridSpan w:val="2"/>
            <w:noWrap w:val="0"/>
            <w:vAlign w:val="top"/>
          </w:tcPr>
          <w:p>
            <w:pPr>
              <w:jc w:val="center"/>
              <w:rPr>
                <w:rFonts w:hint="eastAsia" w:ascii="宋体" w:hAnsi="宋体" w:eastAsia="宋体" w:cs="宋体"/>
                <w:color w:val="auto"/>
                <w:sz w:val="20"/>
                <w:szCs w:val="20"/>
                <w:highlight w:val="none"/>
                <w:lang w:eastAsia="zh-CN"/>
              </w:rPr>
            </w:pPr>
          </w:p>
          <w:p>
            <w:pPr>
              <w:jc w:val="center"/>
              <w:rPr>
                <w:rFonts w:hint="eastAsia" w:ascii="宋体" w:hAnsi="宋体" w:eastAsia="宋体" w:cs="宋体"/>
                <w:color w:val="auto"/>
                <w:sz w:val="29"/>
                <w:szCs w:val="29"/>
                <w:highlight w:val="none"/>
                <w:lang w:eastAsia="zh-CN"/>
              </w:rPr>
            </w:pPr>
            <w:r>
              <w:rPr>
                <w:rFonts w:hint="eastAsia" w:ascii="宋体" w:hAnsi="宋体" w:eastAsia="宋体" w:cs="宋体"/>
                <w:color w:val="auto"/>
                <w:sz w:val="24"/>
                <w:szCs w:val="24"/>
                <w:highlight w:val="none"/>
                <w:lang w:eastAsia="zh-CN"/>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740" w:type="dxa"/>
            <w:noWrap w:val="0"/>
            <w:vAlign w:val="center"/>
          </w:tcPr>
          <w:p>
            <w:pPr>
              <w:spacing w:before="8"/>
              <w:jc w:val="center"/>
              <w:rPr>
                <w:rFonts w:hint="eastAsia" w:ascii="宋体" w:hAnsi="宋体" w:eastAsia="宋体" w:cs="宋体"/>
                <w:color w:val="auto"/>
                <w:sz w:val="29"/>
                <w:szCs w:val="29"/>
                <w:highlight w:val="none"/>
                <w:lang w:eastAsia="zh-CN"/>
              </w:rPr>
            </w:pPr>
            <w:r>
              <w:rPr>
                <w:rFonts w:hint="eastAsia" w:ascii="宋体" w:hAnsi="宋体" w:eastAsia="宋体" w:cs="宋体"/>
                <w:color w:val="auto"/>
                <w:sz w:val="24"/>
                <w:highlight w:val="none"/>
              </w:rPr>
              <w:t>资质</w:t>
            </w:r>
          </w:p>
        </w:tc>
        <w:tc>
          <w:tcPr>
            <w:tcW w:w="7566" w:type="dxa"/>
            <w:noWrap w:val="0"/>
            <w:vAlign w:val="center"/>
          </w:tcPr>
          <w:p>
            <w:pPr>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具备交通主管部门核发的公路工程甲级监理资质证书，资质证书通过定期检验且在有效期内，持有工商行政管理部门核发的有效的《企业法人营业执照》。</w:t>
            </w:r>
          </w:p>
        </w:tc>
      </w:tr>
    </w:tbl>
    <w:p>
      <w:pPr>
        <w:spacing w:before="142"/>
        <w:jc w:val="center"/>
        <w:rPr>
          <w:rFonts w:hint="eastAsia" w:ascii="宋体" w:hAnsi="宋体" w:eastAsia="宋体" w:cs="宋体"/>
          <w:b/>
          <w:color w:val="auto"/>
          <w:sz w:val="28"/>
          <w:szCs w:val="28"/>
          <w:highlight w:val="none"/>
          <w:lang w:eastAsia="zh-CN"/>
        </w:rPr>
      </w:pPr>
    </w:p>
    <w:p>
      <w:pPr>
        <w:spacing w:before="142"/>
        <w:jc w:val="center"/>
        <w:rPr>
          <w:rFonts w:hint="eastAsia" w:ascii="宋体" w:hAnsi="宋体" w:eastAsia="宋体" w:cs="宋体"/>
          <w:b/>
          <w:color w:val="auto"/>
          <w:sz w:val="28"/>
          <w:szCs w:val="28"/>
          <w:highlight w:val="none"/>
          <w:lang w:eastAsia="zh-CN"/>
        </w:rPr>
      </w:pPr>
    </w:p>
    <w:p>
      <w:pPr>
        <w:spacing w:before="142"/>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附录 2</w:t>
      </w: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资格审查条件（业绩最低要求）</w:t>
      </w:r>
    </w:p>
    <w:p>
      <w:pPr>
        <w:pStyle w:val="2"/>
        <w:rPr>
          <w:rFonts w:hint="eastAsia" w:ascii="宋体" w:hAnsi="宋体" w:eastAsia="宋体" w:cs="宋体"/>
          <w:color w:val="auto"/>
          <w:highlight w:val="none"/>
          <w:lang w:eastAsia="zh-CN"/>
        </w:rPr>
      </w:pPr>
    </w:p>
    <w:tbl>
      <w:tblPr>
        <w:tblStyle w:val="3"/>
        <w:tblW w:w="9337"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7"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w:t>
            </w:r>
          </w:p>
        </w:tc>
        <w:tc>
          <w:tcPr>
            <w:tcW w:w="840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337" w:type="dxa"/>
            <w:gridSpan w:val="2"/>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近5年内（即2015年5月1日至递交投标文件截止日止）至少成功独立完成过1项里程不少于10公里的一级或以上公路施工监理项目。</w:t>
            </w:r>
          </w:p>
        </w:tc>
      </w:tr>
    </w:tbl>
    <w:p>
      <w:pPr>
        <w:spacing w:before="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注：1、业绩计算以此期间通过交工验收的项目为准。本文提到的交工验收指交工验收或一次性竣工验收。</w:t>
      </w:r>
    </w:p>
    <w:p>
      <w:pPr>
        <w:pStyle w:val="5"/>
        <w:adjustRightInd w:val="0"/>
        <w:snapToGrid w:val="0"/>
        <w:spacing w:line="400" w:lineRule="exact"/>
        <w:ind w:firstLine="440"/>
        <w:rPr>
          <w:rFonts w:hint="eastAsia" w:ascii="宋体" w:hAnsi="宋体" w:eastAsia="宋体" w:cs="宋体"/>
          <w:color w:val="auto"/>
          <w:spacing w:val="0"/>
          <w:kern w:val="0"/>
          <w:sz w:val="22"/>
          <w:szCs w:val="22"/>
          <w:highlight w:val="none"/>
          <w:lang w:eastAsia="zh-CN"/>
        </w:rPr>
      </w:pPr>
      <w:r>
        <w:rPr>
          <w:rFonts w:hint="eastAsia" w:ascii="宋体" w:hAnsi="宋体" w:eastAsia="宋体" w:cs="宋体"/>
          <w:color w:val="auto"/>
          <w:spacing w:val="0"/>
          <w:kern w:val="0"/>
          <w:sz w:val="22"/>
          <w:szCs w:val="22"/>
          <w:highlight w:val="none"/>
          <w:lang w:eastAsia="zh-CN"/>
        </w:rPr>
        <w:t>2、“独立完成”指施工监理工作任务由投标人独立完成，工程已完工并交工验收且经发包人（或项目业主）评定质量评定等级为合格。</w:t>
      </w:r>
    </w:p>
    <w:p>
      <w:pPr>
        <w:pStyle w:val="2"/>
        <w:jc w:val="both"/>
        <w:rPr>
          <w:rFonts w:hint="eastAsia" w:ascii="宋体" w:hAnsi="宋体" w:eastAsia="宋体" w:cs="宋体"/>
          <w:b w:val="0"/>
          <w:color w:val="auto"/>
          <w:sz w:val="28"/>
          <w:szCs w:val="28"/>
          <w:highlight w:val="none"/>
          <w:lang w:eastAsia="zh-CN"/>
        </w:rPr>
      </w:pPr>
    </w:p>
    <w:p>
      <w:pPr>
        <w:pStyle w:val="2"/>
        <w:rPr>
          <w:rFonts w:hint="eastAsia" w:ascii="宋体" w:hAnsi="宋体" w:eastAsia="宋体" w:cs="宋体"/>
          <w:color w:val="auto"/>
          <w:highlight w:val="none"/>
          <w:lang w:eastAsia="zh-CN"/>
        </w:rPr>
      </w:pPr>
    </w:p>
    <w:p>
      <w:pPr>
        <w:tabs>
          <w:tab w:val="left" w:pos="1189"/>
        </w:tabs>
        <w:spacing w:before="13"/>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附录 3</w:t>
      </w: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 xml:space="preserve">资格审查条件 （信誉最低要求）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26" w:type="dxa"/>
            <w:noWrap w:val="0"/>
            <w:vAlign w:val="center"/>
          </w:tcPr>
          <w:p>
            <w:pPr>
              <w:spacing w:before="6"/>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4"/>
                <w:szCs w:val="24"/>
                <w:highlight w:val="none"/>
                <w:lang w:eastAsia="zh-CN"/>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26" w:type="dxa"/>
            <w:noWrap w:val="0"/>
            <w:vAlign w:val="center"/>
          </w:tcPr>
          <w:p>
            <w:pPr>
              <w:widowControl/>
              <w:spacing w:line="360" w:lineRule="exact"/>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2019年度（含无广东省2019年度信用等级而2018年度有广东省信用等级的）在广东省公路工程从业单位信用评价（监理单位）中，信用等级未被评为D级；初次进入广东省的投标人，在最新全国公路从业单位（监理单位）信用评价结果中未被评为D级。</w:t>
            </w:r>
          </w:p>
        </w:tc>
      </w:tr>
    </w:tbl>
    <w:p>
      <w:pPr>
        <w:pStyle w:val="5"/>
        <w:adjustRightInd w:val="0"/>
        <w:snapToGrid w:val="0"/>
        <w:spacing w:line="400" w:lineRule="exact"/>
        <w:ind w:firstLine="440"/>
        <w:rPr>
          <w:rFonts w:hint="eastAsia" w:ascii="宋体" w:hAnsi="宋体" w:eastAsia="宋体" w:cs="宋体"/>
          <w:color w:val="auto"/>
          <w:spacing w:val="0"/>
          <w:kern w:val="0"/>
          <w:sz w:val="22"/>
          <w:szCs w:val="22"/>
          <w:highlight w:val="none"/>
          <w:lang w:eastAsia="zh-CN"/>
        </w:rPr>
      </w:pPr>
      <w:r>
        <w:rPr>
          <w:rFonts w:hint="eastAsia" w:ascii="宋体" w:hAnsi="宋体" w:eastAsia="宋体" w:cs="宋体"/>
          <w:color w:val="auto"/>
          <w:spacing w:val="0"/>
          <w:kern w:val="0"/>
          <w:sz w:val="22"/>
          <w:szCs w:val="22"/>
          <w:highlight w:val="none"/>
          <w:lang w:eastAsia="zh-CN"/>
        </w:rPr>
        <w:t>注：信用等级的确定原则遵循投标人须知前附表第10.2款的规定。</w:t>
      </w:r>
    </w:p>
    <w:p>
      <w:pPr>
        <w:pStyle w:val="5"/>
        <w:adjustRightInd w:val="0"/>
        <w:snapToGrid w:val="0"/>
        <w:spacing w:line="400" w:lineRule="exact"/>
        <w:ind w:firstLine="440"/>
        <w:rPr>
          <w:rFonts w:hint="eastAsia" w:ascii="宋体" w:hAnsi="宋体" w:eastAsia="宋体" w:cs="宋体"/>
          <w:color w:val="auto"/>
          <w:spacing w:val="0"/>
          <w:kern w:val="0"/>
          <w:sz w:val="22"/>
          <w:szCs w:val="22"/>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pacing w:val="-18"/>
          <w:sz w:val="28"/>
          <w:szCs w:val="28"/>
          <w:highlight w:val="none"/>
          <w:lang w:eastAsia="zh-CN"/>
        </w:rPr>
      </w:pPr>
    </w:p>
    <w:p>
      <w:pPr>
        <w:tabs>
          <w:tab w:val="left" w:pos="1433"/>
        </w:tabs>
        <w:spacing w:before="13"/>
        <w:jc w:val="center"/>
        <w:rPr>
          <w:rFonts w:hint="eastAsia" w:ascii="宋体" w:hAnsi="宋体" w:eastAsia="宋体" w:cs="宋体"/>
          <w:b/>
          <w:color w:val="auto"/>
          <w:sz w:val="27"/>
          <w:szCs w:val="27"/>
          <w:highlight w:val="none"/>
          <w:lang w:eastAsia="zh-CN"/>
        </w:rPr>
      </w:pPr>
      <w:r>
        <w:rPr>
          <w:rFonts w:hint="eastAsia" w:ascii="宋体" w:hAnsi="宋体" w:eastAsia="宋体" w:cs="宋体"/>
          <w:b/>
          <w:color w:val="auto"/>
          <w:spacing w:val="-18"/>
          <w:sz w:val="28"/>
          <w:szCs w:val="28"/>
          <w:highlight w:val="none"/>
          <w:lang w:eastAsia="zh-CN"/>
        </w:rPr>
        <w:t>附录</w:t>
      </w:r>
      <w:r>
        <w:rPr>
          <w:rFonts w:hint="eastAsia" w:ascii="宋体" w:hAnsi="宋体" w:eastAsia="宋体" w:cs="宋体"/>
          <w:b/>
          <w:color w:val="auto"/>
          <w:spacing w:val="-33"/>
          <w:sz w:val="28"/>
          <w:szCs w:val="28"/>
          <w:highlight w:val="none"/>
          <w:lang w:eastAsia="zh-CN"/>
        </w:rPr>
        <w:t xml:space="preserve"> </w:t>
      </w:r>
      <w:r>
        <w:rPr>
          <w:rFonts w:hint="eastAsia" w:ascii="宋体" w:hAnsi="宋体" w:eastAsia="宋体" w:cs="宋体"/>
          <w:b/>
          <w:color w:val="auto"/>
          <w:sz w:val="26"/>
          <w:szCs w:val="26"/>
          <w:highlight w:val="none"/>
          <w:lang w:eastAsia="zh-CN"/>
        </w:rPr>
        <w:t>4</w:t>
      </w:r>
      <w:r>
        <w:rPr>
          <w:rFonts w:hint="eastAsia" w:ascii="宋体" w:hAnsi="宋体" w:eastAsia="宋体" w:cs="宋体"/>
          <w:b/>
          <w:color w:val="auto"/>
          <w:sz w:val="26"/>
          <w:szCs w:val="26"/>
          <w:highlight w:val="none"/>
          <w:lang w:eastAsia="zh-CN"/>
        </w:rPr>
        <w:tab/>
      </w:r>
      <w:r>
        <w:rPr>
          <w:rFonts w:hint="eastAsia" w:ascii="宋体" w:hAnsi="宋体" w:eastAsia="宋体" w:cs="宋体"/>
          <w:b/>
          <w:color w:val="auto"/>
          <w:spacing w:val="-22"/>
          <w:sz w:val="27"/>
          <w:szCs w:val="27"/>
          <w:highlight w:val="none"/>
          <w:lang w:eastAsia="zh-CN"/>
        </w:rPr>
        <w:t>资格审查条件</w:t>
      </w:r>
      <w:r>
        <w:rPr>
          <w:rFonts w:hint="eastAsia" w:ascii="宋体" w:hAnsi="宋体" w:eastAsia="宋体" w:cs="宋体"/>
          <w:b/>
          <w:color w:val="auto"/>
          <w:spacing w:val="-13"/>
          <w:sz w:val="27"/>
          <w:szCs w:val="27"/>
          <w:highlight w:val="none"/>
          <w:lang w:eastAsia="zh-CN"/>
        </w:rPr>
        <w:t>（总监理工程师最低要求）</w:t>
      </w:r>
    </w:p>
    <w:p>
      <w:pPr>
        <w:spacing w:before="5"/>
        <w:rPr>
          <w:rFonts w:hint="eastAsia" w:ascii="宋体" w:hAnsi="宋体" w:eastAsia="宋体" w:cs="宋体"/>
          <w:color w:val="auto"/>
          <w:sz w:val="20"/>
          <w:szCs w:val="20"/>
          <w:highlight w:val="none"/>
          <w:lang w:eastAsia="zh-CN"/>
        </w:rPr>
      </w:pPr>
    </w:p>
    <w:tbl>
      <w:tblPr>
        <w:tblStyle w:val="3"/>
        <w:tblW w:w="9382" w:type="dxa"/>
        <w:jc w:val="center"/>
        <w:tblLayout w:type="fixed"/>
        <w:tblCellMar>
          <w:top w:w="0" w:type="dxa"/>
          <w:left w:w="0" w:type="dxa"/>
          <w:bottom w:w="0" w:type="dxa"/>
          <w:right w:w="0" w:type="dxa"/>
        </w:tblCellMar>
      </w:tblPr>
      <w:tblGrid>
        <w:gridCol w:w="1899"/>
        <w:gridCol w:w="992"/>
        <w:gridCol w:w="3462"/>
        <w:gridCol w:w="3029"/>
      </w:tblGrid>
      <w:tr>
        <w:tblPrEx>
          <w:tblCellMar>
            <w:top w:w="0" w:type="dxa"/>
            <w:left w:w="0" w:type="dxa"/>
            <w:bottom w:w="0" w:type="dxa"/>
            <w:right w:w="0" w:type="dxa"/>
          </w:tblCellMar>
        </w:tblPrEx>
        <w:trPr>
          <w:trHeight w:val="23" w:hRule="atLeast"/>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pPr>
              <w:pStyle w:val="6"/>
              <w:tabs>
                <w:tab w:val="left" w:pos="449"/>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员</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6"/>
              <w:tabs>
                <w:tab w:val="left" w:pos="77"/>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462" w:type="dxa"/>
            <w:tcBorders>
              <w:top w:val="single" w:color="000000" w:sz="4" w:space="0"/>
              <w:left w:val="single" w:color="000000" w:sz="4" w:space="0"/>
              <w:bottom w:val="single" w:color="000000" w:sz="4" w:space="0"/>
              <w:right w:val="single" w:color="auto" w:sz="4" w:space="0"/>
            </w:tcBorders>
            <w:noWrap w:val="0"/>
            <w:vAlign w:val="center"/>
          </w:tcPr>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 格 要 求</w:t>
            </w:r>
          </w:p>
        </w:tc>
        <w:tc>
          <w:tcPr>
            <w:tcW w:w="3029" w:type="dxa"/>
            <w:tcBorders>
              <w:top w:val="single" w:color="000000" w:sz="4" w:space="0"/>
              <w:left w:val="single" w:color="auto" w:sz="4" w:space="0"/>
              <w:bottom w:val="single" w:color="000000" w:sz="4" w:space="0"/>
              <w:right w:val="single" w:color="auto" w:sz="4" w:space="0"/>
            </w:tcBorders>
            <w:noWrap w:val="0"/>
            <w:vAlign w:val="center"/>
          </w:tcPr>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在岗要求</w:t>
            </w:r>
          </w:p>
        </w:tc>
      </w:tr>
      <w:tr>
        <w:tblPrEx>
          <w:tblCellMar>
            <w:top w:w="0" w:type="dxa"/>
            <w:left w:w="0" w:type="dxa"/>
            <w:bottom w:w="0" w:type="dxa"/>
            <w:right w:w="0" w:type="dxa"/>
          </w:tblCellMar>
        </w:tblPrEx>
        <w:trPr>
          <w:trHeight w:val="4270" w:hRule="atLeast"/>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总监理工程师</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1人</w:t>
            </w:r>
          </w:p>
        </w:tc>
        <w:tc>
          <w:tcPr>
            <w:tcW w:w="3462" w:type="dxa"/>
            <w:tcBorders>
              <w:top w:val="single" w:color="000000" w:sz="4" w:space="0"/>
              <w:left w:val="single" w:color="000000" w:sz="4" w:space="0"/>
              <w:bottom w:val="single" w:color="000000" w:sz="4" w:space="0"/>
              <w:right w:val="single" w:color="auto" w:sz="4" w:space="0"/>
            </w:tcBorders>
            <w:noWrap w:val="0"/>
            <w:vAlign w:val="center"/>
          </w:tcPr>
          <w:p>
            <w:pPr>
              <w:pStyle w:val="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交通运输部核发的公路工程监理工程师资格证书，且已在投标人处进行岗位登记，具有路桥相关专业（桥梁、道路、公路、道桥等）高级技术职称，担任过一项及以上类似工程监理负责人（含总监、副总监、总监代表及驻地高监），年龄不超过55岁。</w:t>
            </w:r>
          </w:p>
        </w:tc>
        <w:tc>
          <w:tcPr>
            <w:tcW w:w="3029" w:type="dxa"/>
            <w:tcBorders>
              <w:top w:val="single" w:color="000000" w:sz="4" w:space="0"/>
              <w:left w:val="single" w:color="auto" w:sz="4" w:space="0"/>
              <w:bottom w:val="single" w:color="000000" w:sz="4" w:space="0"/>
              <w:right w:val="single" w:color="auto" w:sz="4" w:space="0"/>
            </w:tcBorders>
            <w:noWrap w:val="0"/>
            <w:vAlign w:val="center"/>
          </w:tcPr>
          <w:p>
            <w:pPr>
              <w:pStyle w:val="7"/>
              <w:widowControl/>
              <w:rPr>
                <w:rFonts w:hint="eastAsia" w:ascii="宋体" w:hAnsi="宋体" w:eastAsia="宋体" w:cs="宋体"/>
                <w:color w:val="auto"/>
                <w:highlight w:val="none"/>
              </w:rPr>
            </w:pPr>
            <w:r>
              <w:rPr>
                <w:rStyle w:val="8"/>
                <w:rFonts w:hint="eastAsia" w:ascii="宋体" w:hAnsi="宋体" w:eastAsia="宋体" w:cs="宋体"/>
                <w:color w:val="auto"/>
                <w:highlight w:val="none"/>
              </w:rPr>
              <w:t>投标人承诺目前未在其他项目上任职，或虽在其他项目上任职但本项目中标后能够从该项目撤离。如有在其他项目在岗的，在本项目中标公示结束后15天内必须取得在岗项目业主单位的调离批准文件并递交本项目业主单位，否则招标人有权取消其第一中标候选人资格，并按照评标委员会推荐中标候选人次序确定中标人。</w:t>
            </w:r>
          </w:p>
          <w:p>
            <w:pPr>
              <w:pStyle w:val="6"/>
              <w:rPr>
                <w:rFonts w:hint="eastAsia" w:ascii="宋体" w:hAnsi="宋体" w:eastAsia="宋体" w:cs="宋体"/>
                <w:color w:val="auto"/>
                <w:sz w:val="24"/>
                <w:szCs w:val="24"/>
                <w:highlight w:val="none"/>
                <w:lang w:eastAsia="zh-CN"/>
              </w:rPr>
            </w:pPr>
          </w:p>
        </w:tc>
      </w:tr>
    </w:tbl>
    <w:p>
      <w:pPr>
        <w:spacing w:line="288" w:lineRule="auto"/>
        <w:ind w:right="64" w:rightChars="29" w:firstLine="327" w:firstLineChars="150"/>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注：</w:t>
      </w:r>
      <w:r>
        <w:rPr>
          <w:rFonts w:hint="eastAsia" w:ascii="宋体" w:hAnsi="宋体" w:eastAsia="宋体" w:cs="宋体"/>
          <w:bCs/>
          <w:color w:val="auto"/>
          <w:spacing w:val="4"/>
          <w:sz w:val="21"/>
          <w:szCs w:val="21"/>
          <w:highlight w:val="none"/>
          <w:lang w:eastAsia="zh-CN"/>
        </w:rPr>
        <w:t>1.</w:t>
      </w:r>
      <w:r>
        <w:rPr>
          <w:rFonts w:hint="eastAsia" w:ascii="宋体" w:hAnsi="宋体" w:eastAsia="宋体" w:cs="宋体"/>
          <w:color w:val="auto"/>
          <w:spacing w:val="4"/>
          <w:sz w:val="21"/>
          <w:szCs w:val="21"/>
          <w:highlight w:val="none"/>
          <w:lang w:eastAsia="zh-CN"/>
        </w:rPr>
        <w:t xml:space="preserve"> 本表中所要求</w:t>
      </w:r>
      <w:r>
        <w:rPr>
          <w:rFonts w:hint="eastAsia" w:ascii="宋体" w:hAnsi="宋体" w:eastAsia="宋体" w:cs="宋体"/>
          <w:color w:val="auto"/>
          <w:sz w:val="21"/>
          <w:szCs w:val="21"/>
          <w:highlight w:val="none"/>
          <w:lang w:eastAsia="zh-CN"/>
        </w:rPr>
        <w:t>总监理工程师</w:t>
      </w:r>
      <w:r>
        <w:rPr>
          <w:rFonts w:hint="eastAsia" w:ascii="宋体" w:hAnsi="宋体" w:eastAsia="宋体" w:cs="宋体"/>
          <w:color w:val="auto"/>
          <w:spacing w:val="4"/>
          <w:sz w:val="21"/>
          <w:szCs w:val="21"/>
          <w:highlight w:val="none"/>
          <w:lang w:eastAsia="zh-CN"/>
        </w:rPr>
        <w:t>需按投标文件格式中《 拟委任的总监理工程师资历表》填写，并按资历表要求附相关证明材料</w:t>
      </w:r>
      <w:r>
        <w:rPr>
          <w:rFonts w:hint="eastAsia" w:ascii="宋体" w:hAnsi="宋体" w:eastAsia="宋体" w:cs="宋体"/>
          <w:bCs/>
          <w:color w:val="auto"/>
          <w:spacing w:val="4"/>
          <w:sz w:val="21"/>
          <w:szCs w:val="21"/>
          <w:highlight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三简体">
    <w:altName w:val="宋体"/>
    <w:panose1 w:val="00000000000000000000"/>
    <w:charset w:val="86"/>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448A2"/>
    <w:rsid w:val="7A94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eastAsia="宋体" w:cs="Times New Roman"/>
      <w:b/>
    </w:rPr>
  </w:style>
  <w:style w:type="paragraph" w:customStyle="1" w:styleId="5">
    <w:name w:val="附件正文ffff"/>
    <w:basedOn w:val="1"/>
    <w:qFormat/>
    <w:uiPriority w:val="0"/>
    <w:pPr>
      <w:spacing w:line="340" w:lineRule="exact"/>
      <w:ind w:firstLine="436" w:firstLineChars="200"/>
      <w:jc w:val="both"/>
    </w:pPr>
    <w:rPr>
      <w:rFonts w:ascii="方正宋三简体" w:eastAsia="方正宋三简体"/>
      <w:spacing w:val="4"/>
      <w:kern w:val="2"/>
      <w:sz w:val="21"/>
      <w:szCs w:val="21"/>
    </w:rPr>
  </w:style>
  <w:style w:type="paragraph" w:customStyle="1" w:styleId="6">
    <w:name w:val="Table Paragraph"/>
    <w:basedOn w:val="1"/>
    <w:qFormat/>
    <w:uiPriority w:val="99"/>
  </w:style>
  <w:style w:type="paragraph" w:customStyle="1" w:styleId="7">
    <w:name w:val="p1"/>
    <w:basedOn w:val="1"/>
    <w:qFormat/>
    <w:uiPriority w:val="0"/>
    <w:pPr>
      <w:spacing w:beforeAutospacing="0" w:after="0" w:afterAutospacing="0"/>
      <w:ind w:left="0" w:right="0"/>
      <w:jc w:val="left"/>
    </w:pPr>
    <w:rPr>
      <w:kern w:val="0"/>
      <w:lang w:val="en-US" w:eastAsia="zh-CN" w:bidi="ar"/>
    </w:rPr>
  </w:style>
  <w:style w:type="character" w:customStyle="1" w:styleId="8">
    <w:name w:val="s1"/>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2020-09-11T04:35:00Z</dcterms:created>
  <dc:creator>…KING</dc:creator>
  <cp:lastModifiedBy>…KING</cp:lastModifiedBy>
  <dcterms:modified xsi:type="dcterms:W3CDTF">2020-09-11T04:37:19Z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